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04" w:rsidRPr="007E5D04" w:rsidRDefault="007B5741" w:rsidP="007F3442">
      <w:pPr>
        <w:rPr>
          <w:vanish/>
        </w:rPr>
      </w:pPr>
      <w:r w:rsidRPr="00A7094D">
        <w:rPr>
          <w:noProof/>
          <w:lang w:eastAsia="pt-BR"/>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7402195</wp:posOffset>
                </wp:positionV>
                <wp:extent cx="2556510" cy="86931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869315"/>
                        </a:xfrm>
                        <a:prstGeom prst="rect">
                          <a:avLst/>
                        </a:prstGeom>
                        <a:noFill/>
                        <a:ln w="9525">
                          <a:noFill/>
                          <a:miter lim="800000"/>
                          <a:headEnd/>
                          <a:tailEnd/>
                        </a:ln>
                      </wps:spPr>
                      <wps:txbx>
                        <w:txbxContent>
                          <w:p w:rsidR="009552AE" w:rsidRDefault="0055782E" w:rsidP="0055782E">
                            <w:pPr>
                              <w:jc w:val="center"/>
                              <w:rPr>
                                <w:rFonts w:ascii="Arial" w:hAnsi="Arial" w:cs="Arial"/>
                                <w:b/>
                                <w:color w:val="002060"/>
                                <w:sz w:val="20"/>
                                <w:szCs w:val="20"/>
                              </w:rPr>
                            </w:pPr>
                            <w:r w:rsidRPr="0055782E">
                              <w:rPr>
                                <w:rFonts w:ascii="Arial" w:hAnsi="Arial" w:cs="Arial"/>
                                <w:b/>
                                <w:color w:val="002060"/>
                                <w:sz w:val="20"/>
                                <w:szCs w:val="20"/>
                              </w:rPr>
                              <w:t xml:space="preserve">Informativo nº </w:t>
                            </w:r>
                            <w:r w:rsidR="00A43547">
                              <w:rPr>
                                <w:rFonts w:ascii="Arial" w:hAnsi="Arial" w:cs="Arial"/>
                                <w:b/>
                                <w:color w:val="002060"/>
                                <w:sz w:val="20"/>
                                <w:szCs w:val="20"/>
                              </w:rPr>
                              <w:t>0</w:t>
                            </w:r>
                            <w:r w:rsidR="00C455F8">
                              <w:rPr>
                                <w:rFonts w:ascii="Arial" w:hAnsi="Arial" w:cs="Arial"/>
                                <w:b/>
                                <w:color w:val="002060"/>
                                <w:sz w:val="20"/>
                                <w:szCs w:val="20"/>
                              </w:rPr>
                              <w:t>87</w:t>
                            </w:r>
                          </w:p>
                          <w:p w:rsidR="0055782E" w:rsidRDefault="00AB5D65" w:rsidP="00FC3EAD">
                            <w:pPr>
                              <w:jc w:val="center"/>
                              <w:rPr>
                                <w:rFonts w:ascii="Arial" w:hAnsi="Arial" w:cs="Arial"/>
                                <w:sz w:val="20"/>
                                <w:szCs w:val="20"/>
                              </w:rPr>
                            </w:pPr>
                            <w:r>
                              <w:rPr>
                                <w:rFonts w:ascii="Arial" w:hAnsi="Arial" w:cs="Arial"/>
                                <w:sz w:val="20"/>
                                <w:szCs w:val="20"/>
                              </w:rPr>
                              <w:t>1º</w:t>
                            </w:r>
                            <w:r w:rsidR="0055782E" w:rsidRPr="0055782E">
                              <w:rPr>
                                <w:rFonts w:ascii="Arial" w:hAnsi="Arial" w:cs="Arial"/>
                                <w:sz w:val="20"/>
                                <w:szCs w:val="20"/>
                              </w:rPr>
                              <w:t xml:space="preserve"> de </w:t>
                            </w:r>
                            <w:r>
                              <w:rPr>
                                <w:rFonts w:ascii="Arial" w:hAnsi="Arial" w:cs="Arial"/>
                                <w:sz w:val="20"/>
                                <w:szCs w:val="20"/>
                              </w:rPr>
                              <w:t>jul</w:t>
                            </w:r>
                            <w:r w:rsidR="00FF7A46">
                              <w:rPr>
                                <w:rFonts w:ascii="Arial" w:hAnsi="Arial" w:cs="Arial"/>
                                <w:sz w:val="20"/>
                                <w:szCs w:val="20"/>
                              </w:rPr>
                              <w:t>ho</w:t>
                            </w:r>
                            <w:r w:rsidR="0055782E" w:rsidRPr="0055782E">
                              <w:rPr>
                                <w:rFonts w:ascii="Arial" w:hAnsi="Arial" w:cs="Arial"/>
                                <w:sz w:val="20"/>
                                <w:szCs w:val="20"/>
                              </w:rPr>
                              <w:t xml:space="preserve"> de 2020</w:t>
                            </w:r>
                          </w:p>
                          <w:p w:rsidR="00A065D3" w:rsidRPr="0055782E" w:rsidRDefault="00A065D3" w:rsidP="00207D25">
                            <w:pP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0;margin-top:582.85pt;width:201.3pt;height:68.45pt;z-index:25165824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" filled="f" stroked="f">
                <v:textbox style="mso-fit-shape-to-text:t">
                  <w:txbxContent>
                    <w:p w:rsidR="009552AE" w:rsidRDefault="0055782E" w:rsidP="0055782E">
                      <w:pPr>
                        <w:jc w:val="center"/>
                        <w:rPr>
                          <w:rFonts w:ascii="Arial" w:hAnsi="Arial" w:cs="Arial"/>
                          <w:b/>
                          <w:color w:val="002060"/>
                          <w:sz w:val="20"/>
                          <w:szCs w:val="20"/>
                        </w:rPr>
                      </w:pPr>
                      <w:r w:rsidRPr="0055782E">
                        <w:rPr>
                          <w:rFonts w:ascii="Arial" w:hAnsi="Arial" w:cs="Arial"/>
                          <w:b/>
                          <w:color w:val="002060"/>
                          <w:sz w:val="20"/>
                          <w:szCs w:val="20"/>
                        </w:rPr>
                        <w:t xml:space="preserve">Informativo nº </w:t>
                      </w:r>
                      <w:r w:rsidR="00A43547">
                        <w:rPr>
                          <w:rFonts w:ascii="Arial" w:hAnsi="Arial" w:cs="Arial"/>
                          <w:b/>
                          <w:color w:val="002060"/>
                          <w:sz w:val="20"/>
                          <w:szCs w:val="20"/>
                        </w:rPr>
                        <w:t>0</w:t>
                      </w:r>
                      <w:r w:rsidR="00C455F8">
                        <w:rPr>
                          <w:rFonts w:ascii="Arial" w:hAnsi="Arial" w:cs="Arial"/>
                          <w:b/>
                          <w:color w:val="002060"/>
                          <w:sz w:val="20"/>
                          <w:szCs w:val="20"/>
                        </w:rPr>
                        <w:t>87</w:t>
                      </w:r>
                    </w:p>
                    <w:p w:rsidR="0055782E" w:rsidRDefault="00AB5D65" w:rsidP="00FC3EAD">
                      <w:pPr>
                        <w:jc w:val="center"/>
                        <w:rPr>
                          <w:rFonts w:ascii="Arial" w:hAnsi="Arial" w:cs="Arial"/>
                          <w:sz w:val="20"/>
                          <w:szCs w:val="20"/>
                        </w:rPr>
                      </w:pPr>
                      <w:r>
                        <w:rPr>
                          <w:rFonts w:ascii="Arial" w:hAnsi="Arial" w:cs="Arial"/>
                          <w:sz w:val="20"/>
                          <w:szCs w:val="20"/>
                        </w:rPr>
                        <w:t>1º</w:t>
                      </w:r>
                      <w:r w:rsidR="0055782E" w:rsidRPr="0055782E">
                        <w:rPr>
                          <w:rFonts w:ascii="Arial" w:hAnsi="Arial" w:cs="Arial"/>
                          <w:sz w:val="20"/>
                          <w:szCs w:val="20"/>
                        </w:rPr>
                        <w:t xml:space="preserve"> de </w:t>
                      </w:r>
                      <w:r>
                        <w:rPr>
                          <w:rFonts w:ascii="Arial" w:hAnsi="Arial" w:cs="Arial"/>
                          <w:sz w:val="20"/>
                          <w:szCs w:val="20"/>
                        </w:rPr>
                        <w:t>jul</w:t>
                      </w:r>
                      <w:r w:rsidR="00FF7A46">
                        <w:rPr>
                          <w:rFonts w:ascii="Arial" w:hAnsi="Arial" w:cs="Arial"/>
                          <w:sz w:val="20"/>
                          <w:szCs w:val="20"/>
                        </w:rPr>
                        <w:t>ho</w:t>
                      </w:r>
                      <w:r w:rsidR="0055782E" w:rsidRPr="0055782E">
                        <w:rPr>
                          <w:rFonts w:ascii="Arial" w:hAnsi="Arial" w:cs="Arial"/>
                          <w:sz w:val="20"/>
                          <w:szCs w:val="20"/>
                        </w:rPr>
                        <w:t xml:space="preserve"> de 2020</w:t>
                      </w:r>
                    </w:p>
                    <w:p w:rsidR="00A065D3" w:rsidRPr="0055782E" w:rsidRDefault="00A065D3" w:rsidP="00207D25">
                      <w:pPr>
                        <w:rPr>
                          <w:rFonts w:ascii="Arial" w:hAnsi="Arial" w:cs="Arial"/>
                          <w:sz w:val="20"/>
                          <w:szCs w:val="20"/>
                        </w:rPr>
                      </w:pPr>
                    </w:p>
                  </w:txbxContent>
                </v:textbox>
                <w10:wrap type="square" anchorx="margin"/>
              </v:shape>
            </w:pict>
          </mc:Fallback>
        </mc:AlternateContent>
      </w:r>
      <w:r>
        <w:rPr>
          <w:noProof/>
          <w:lang w:eastAsia="pt-BR"/>
        </w:rPr>
        <w:drawing>
          <wp:anchor distT="0" distB="0" distL="114300" distR="114300" simplePos="0" relativeHeight="251657216" behindDoc="1" locked="1" layoutInCell="1" allowOverlap="1">
            <wp:simplePos x="0" y="0"/>
            <wp:positionH relativeFrom="margin">
              <wp:posOffset>-1064260</wp:posOffset>
            </wp:positionH>
            <wp:positionV relativeFrom="page">
              <wp:posOffset>7620</wp:posOffset>
            </wp:positionV>
            <wp:extent cx="8150225" cy="10741660"/>
            <wp:effectExtent l="0" t="0" r="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0225" cy="1074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F0E">
        <w:br w:type="column"/>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9"/>
        <w:gridCol w:w="2636"/>
        <w:gridCol w:w="6293"/>
      </w:tblGrid>
      <w:tr w:rsidR="00A9636B" w:rsidRPr="0083317F" w:rsidTr="001F63A6">
        <w:tc>
          <w:tcPr>
            <w:tcW w:w="1419" w:type="dxa"/>
            <w:tcMar>
              <w:top w:w="0" w:type="dxa"/>
              <w:left w:w="108" w:type="dxa"/>
              <w:bottom w:w="0" w:type="dxa"/>
              <w:right w:w="108" w:type="dxa"/>
            </w:tcMar>
            <w:vAlign w:val="center"/>
            <w:hideMark/>
          </w:tcPr>
          <w:p w:rsidR="00A9636B" w:rsidRPr="0083317F" w:rsidRDefault="00A9636B" w:rsidP="00F36384">
            <w:pPr>
              <w:spacing w:line="252" w:lineRule="auto"/>
              <w:jc w:val="center"/>
              <w:rPr>
                <w:rFonts w:ascii="Arial" w:hAnsi="Arial" w:cs="Arial"/>
                <w:b/>
                <w:bCs/>
                <w:iCs/>
                <w:color w:val="365F91"/>
                <w:sz w:val="20"/>
                <w:szCs w:val="20"/>
                <w:shd w:val="clear" w:color="auto" w:fill="FFFFFF"/>
              </w:rPr>
            </w:pPr>
            <w:r w:rsidRPr="0083317F">
              <w:rPr>
                <w:rFonts w:ascii="Arial" w:hAnsi="Arial" w:cs="Arial"/>
                <w:b/>
                <w:bCs/>
                <w:iCs/>
                <w:color w:val="365F91"/>
                <w:sz w:val="20"/>
                <w:szCs w:val="20"/>
                <w:shd w:val="clear" w:color="auto" w:fill="FFFFFF"/>
              </w:rPr>
              <w:t>SITE /</w:t>
            </w:r>
          </w:p>
          <w:p w:rsidR="00A9636B" w:rsidRPr="0083317F" w:rsidRDefault="00A9636B" w:rsidP="00F36384">
            <w:pPr>
              <w:spacing w:line="252" w:lineRule="auto"/>
              <w:jc w:val="center"/>
              <w:rPr>
                <w:rFonts w:ascii="Arial" w:hAnsi="Arial" w:cs="Arial"/>
                <w:b/>
                <w:bCs/>
                <w:iCs/>
                <w:color w:val="365F91"/>
                <w:sz w:val="20"/>
                <w:szCs w:val="20"/>
                <w:shd w:val="clear" w:color="auto" w:fill="FFFFFF"/>
              </w:rPr>
            </w:pPr>
            <w:r w:rsidRPr="0083317F">
              <w:rPr>
                <w:rFonts w:ascii="Arial" w:hAnsi="Arial" w:cs="Arial"/>
                <w:b/>
                <w:bCs/>
                <w:iCs/>
                <w:color w:val="365F91"/>
                <w:sz w:val="20"/>
                <w:szCs w:val="20"/>
                <w:shd w:val="clear" w:color="auto" w:fill="FFFFFF"/>
              </w:rPr>
              <w:t>ÓRGÃO</w:t>
            </w:r>
          </w:p>
        </w:tc>
        <w:tc>
          <w:tcPr>
            <w:tcW w:w="2636" w:type="dxa"/>
            <w:tcMar>
              <w:top w:w="0" w:type="dxa"/>
              <w:left w:w="108" w:type="dxa"/>
              <w:bottom w:w="0" w:type="dxa"/>
              <w:right w:w="108" w:type="dxa"/>
            </w:tcMar>
            <w:hideMark/>
          </w:tcPr>
          <w:p w:rsidR="00A9636B" w:rsidRPr="0083317F" w:rsidRDefault="00A9636B" w:rsidP="00F36384">
            <w:pPr>
              <w:spacing w:line="252" w:lineRule="auto"/>
              <w:jc w:val="center"/>
              <w:rPr>
                <w:rFonts w:ascii="Arial" w:hAnsi="Arial" w:cs="Arial"/>
                <w:b/>
                <w:bCs/>
                <w:iCs/>
                <w:color w:val="365F91"/>
                <w:sz w:val="20"/>
                <w:szCs w:val="20"/>
                <w:shd w:val="clear" w:color="auto" w:fill="FFFFFF"/>
              </w:rPr>
            </w:pPr>
            <w:r w:rsidRPr="0083317F">
              <w:rPr>
                <w:rFonts w:ascii="Arial" w:hAnsi="Arial" w:cs="Arial"/>
                <w:b/>
                <w:bCs/>
                <w:iCs/>
                <w:color w:val="365F91"/>
                <w:sz w:val="20"/>
                <w:szCs w:val="20"/>
                <w:shd w:val="clear" w:color="auto" w:fill="FFFFFF"/>
              </w:rPr>
              <w:t>ATOS</w:t>
            </w:r>
          </w:p>
        </w:tc>
        <w:tc>
          <w:tcPr>
            <w:tcW w:w="6293" w:type="dxa"/>
            <w:tcMar>
              <w:top w:w="0" w:type="dxa"/>
              <w:left w:w="108" w:type="dxa"/>
              <w:bottom w:w="0" w:type="dxa"/>
              <w:right w:w="108" w:type="dxa"/>
            </w:tcMar>
            <w:hideMark/>
          </w:tcPr>
          <w:p w:rsidR="00A9636B" w:rsidRPr="0083317F" w:rsidRDefault="00A9636B" w:rsidP="00F36384">
            <w:pPr>
              <w:spacing w:line="252" w:lineRule="auto"/>
              <w:jc w:val="center"/>
              <w:rPr>
                <w:rFonts w:ascii="Arial" w:hAnsi="Arial" w:cs="Arial"/>
                <w:b/>
                <w:bCs/>
                <w:iCs/>
                <w:color w:val="365F91"/>
                <w:sz w:val="20"/>
                <w:szCs w:val="20"/>
                <w:shd w:val="clear" w:color="auto" w:fill="FFFFFF"/>
              </w:rPr>
            </w:pPr>
            <w:r w:rsidRPr="0083317F">
              <w:rPr>
                <w:rFonts w:ascii="Arial" w:hAnsi="Arial" w:cs="Arial"/>
                <w:b/>
                <w:bCs/>
                <w:iCs/>
                <w:color w:val="365F91"/>
                <w:sz w:val="20"/>
                <w:szCs w:val="20"/>
                <w:shd w:val="clear" w:color="auto" w:fill="FFFFFF"/>
              </w:rPr>
              <w:t>RESUMO</w:t>
            </w:r>
          </w:p>
        </w:tc>
      </w:tr>
      <w:tr w:rsidR="001F63A6" w:rsidRPr="0083317F" w:rsidTr="001A185A">
        <w:tc>
          <w:tcPr>
            <w:tcW w:w="1419" w:type="dxa"/>
            <w:vMerge w:val="restart"/>
            <w:tcMar>
              <w:top w:w="0" w:type="dxa"/>
              <w:left w:w="108" w:type="dxa"/>
              <w:bottom w:w="0" w:type="dxa"/>
              <w:right w:w="108" w:type="dxa"/>
            </w:tcMar>
            <w:vAlign w:val="center"/>
          </w:tcPr>
          <w:p w:rsidR="001F63A6" w:rsidRDefault="001F63A6" w:rsidP="00F36384">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UNIÃO</w:t>
            </w:r>
          </w:p>
        </w:tc>
        <w:tc>
          <w:tcPr>
            <w:tcW w:w="2636" w:type="dxa"/>
            <w:tcMar>
              <w:top w:w="0" w:type="dxa"/>
              <w:left w:w="108" w:type="dxa"/>
              <w:bottom w:w="0" w:type="dxa"/>
              <w:right w:w="108" w:type="dxa"/>
            </w:tcMar>
          </w:tcPr>
          <w:p w:rsidR="001F63A6" w:rsidRDefault="001F63A6" w:rsidP="00F36384">
            <w:pPr>
              <w:spacing w:line="252" w:lineRule="auto"/>
              <w:rPr>
                <w:rFonts w:ascii="Arial" w:hAnsi="Arial" w:cs="Arial"/>
                <w:iCs/>
                <w:color w:val="365F91"/>
                <w:sz w:val="20"/>
                <w:szCs w:val="20"/>
                <w:shd w:val="clear" w:color="auto" w:fill="FFFFFF"/>
              </w:rPr>
            </w:pPr>
            <w:hyperlink r:id="rId9" w:history="1">
              <w:r w:rsidRPr="001F63A6">
                <w:rPr>
                  <w:rStyle w:val="Hyperlink"/>
                  <w:rFonts w:ascii="Arial" w:hAnsi="Arial" w:cs="Arial"/>
                  <w:iCs/>
                  <w:sz w:val="20"/>
                  <w:szCs w:val="20"/>
                  <w:shd w:val="clear" w:color="auto" w:fill="FFFFFF"/>
                </w:rPr>
                <w:t>Decreto nº 10.410, de 30.6.2020 </w:t>
              </w:r>
            </w:hyperlink>
            <w:r>
              <w:rPr>
                <w:rFonts w:ascii="Arial" w:hAnsi="Arial" w:cs="Arial"/>
                <w:iCs/>
                <w:color w:val="365F91"/>
                <w:sz w:val="20"/>
                <w:szCs w:val="20"/>
                <w:shd w:val="clear" w:color="auto" w:fill="FFFFFF"/>
              </w:rPr>
              <w:t>, publicado em 1º.07.2020</w:t>
            </w:r>
          </w:p>
        </w:tc>
        <w:tc>
          <w:tcPr>
            <w:tcW w:w="6293" w:type="dxa"/>
            <w:tcMar>
              <w:top w:w="0" w:type="dxa"/>
              <w:left w:w="108" w:type="dxa"/>
              <w:bottom w:w="0" w:type="dxa"/>
              <w:right w:w="108" w:type="dxa"/>
            </w:tcMar>
          </w:tcPr>
          <w:p w:rsidR="001F63A6" w:rsidRPr="005F5231" w:rsidRDefault="001F63A6" w:rsidP="00F36384">
            <w:pPr>
              <w:rPr>
                <w:rFonts w:ascii="Arial" w:hAnsi="Arial" w:cs="Arial"/>
                <w:iCs/>
                <w:color w:val="365F91"/>
                <w:sz w:val="20"/>
                <w:szCs w:val="20"/>
                <w:shd w:val="clear" w:color="auto" w:fill="FFFFFF"/>
              </w:rPr>
            </w:pPr>
            <w:r w:rsidRPr="001F63A6">
              <w:rPr>
                <w:rFonts w:ascii="Arial" w:hAnsi="Arial" w:cs="Arial"/>
                <w:iCs/>
                <w:color w:val="365F91"/>
                <w:sz w:val="20"/>
                <w:szCs w:val="20"/>
                <w:shd w:val="clear" w:color="auto" w:fill="FFFFFF"/>
              </w:rPr>
              <w:t>Altera o Regulamento da Previdência Social, aprovado pelo Decreto n o 3.048, de 6 de maio de 1999.</w:t>
            </w:r>
          </w:p>
        </w:tc>
      </w:tr>
      <w:tr w:rsidR="001F63A6" w:rsidRPr="0083317F" w:rsidTr="001F63A6">
        <w:tc>
          <w:tcPr>
            <w:tcW w:w="1419" w:type="dxa"/>
            <w:vMerge/>
            <w:tcMar>
              <w:top w:w="0" w:type="dxa"/>
              <w:left w:w="108" w:type="dxa"/>
              <w:bottom w:w="0" w:type="dxa"/>
              <w:right w:w="108" w:type="dxa"/>
            </w:tcMar>
            <w:vAlign w:val="center"/>
          </w:tcPr>
          <w:p w:rsidR="001F63A6" w:rsidRDefault="001F63A6" w:rsidP="00F36384">
            <w:pPr>
              <w:spacing w:line="252" w:lineRule="auto"/>
              <w:jc w:val="center"/>
              <w:rPr>
                <w:rFonts w:ascii="Arial" w:hAnsi="Arial" w:cs="Arial"/>
                <w:iCs/>
                <w:color w:val="365F91"/>
                <w:sz w:val="20"/>
                <w:szCs w:val="20"/>
                <w:shd w:val="clear" w:color="auto" w:fill="FFFFFF"/>
              </w:rPr>
            </w:pPr>
          </w:p>
        </w:tc>
        <w:tc>
          <w:tcPr>
            <w:tcW w:w="2636" w:type="dxa"/>
            <w:tcMar>
              <w:top w:w="0" w:type="dxa"/>
              <w:left w:w="108" w:type="dxa"/>
              <w:bottom w:w="0" w:type="dxa"/>
              <w:right w:w="108" w:type="dxa"/>
            </w:tcMar>
          </w:tcPr>
          <w:p w:rsidR="001A185A" w:rsidRPr="001F63A6" w:rsidRDefault="001F63A6" w:rsidP="001A185A">
            <w:pPr>
              <w:spacing w:line="252" w:lineRule="auto"/>
              <w:rPr>
                <w:rFonts w:ascii="Arial" w:hAnsi="Arial" w:cs="Arial"/>
                <w:iCs/>
                <w:color w:val="365F91"/>
                <w:sz w:val="20"/>
                <w:szCs w:val="20"/>
                <w:shd w:val="clear" w:color="auto" w:fill="FFFFFF"/>
              </w:rPr>
            </w:pPr>
            <w:hyperlink r:id="rId10" w:history="1">
              <w:r w:rsidRPr="001F63A6">
                <w:rPr>
                  <w:rStyle w:val="Hyperlink"/>
                  <w:rFonts w:ascii="Arial" w:hAnsi="Arial" w:cs="Arial"/>
                  <w:iCs/>
                  <w:sz w:val="20"/>
                  <w:szCs w:val="20"/>
                  <w:shd w:val="clear" w:color="auto" w:fill="FFFFFF"/>
                </w:rPr>
                <w:t>Decreto nº 10.412, de 30.6.2020</w:t>
              </w:r>
            </w:hyperlink>
            <w:r>
              <w:rPr>
                <w:rFonts w:ascii="Arial" w:hAnsi="Arial" w:cs="Arial"/>
                <w:iCs/>
                <w:color w:val="365F91"/>
                <w:sz w:val="20"/>
                <w:szCs w:val="20"/>
                <w:shd w:val="clear" w:color="auto" w:fill="FFFFFF"/>
              </w:rPr>
              <w:t>, publicado em 1º.07.2020</w:t>
            </w:r>
            <w:r w:rsidR="001A185A">
              <w:rPr>
                <w:rFonts w:ascii="Arial" w:hAnsi="Arial" w:cs="Arial"/>
                <w:iCs/>
                <w:color w:val="365F91"/>
                <w:sz w:val="20"/>
                <w:szCs w:val="20"/>
                <w:shd w:val="clear" w:color="auto" w:fill="FFFFFF"/>
              </w:rPr>
              <w:t xml:space="preserve"> </w:t>
            </w:r>
          </w:p>
        </w:tc>
        <w:tc>
          <w:tcPr>
            <w:tcW w:w="6293" w:type="dxa"/>
            <w:tcMar>
              <w:top w:w="0" w:type="dxa"/>
              <w:left w:w="108" w:type="dxa"/>
              <w:bottom w:w="0" w:type="dxa"/>
              <w:right w:w="108" w:type="dxa"/>
            </w:tcMar>
          </w:tcPr>
          <w:p w:rsidR="001F63A6" w:rsidRDefault="001F63A6" w:rsidP="00F36384">
            <w:pP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A</w:t>
            </w:r>
            <w:r w:rsidRPr="001F63A6">
              <w:rPr>
                <w:rFonts w:ascii="Arial" w:hAnsi="Arial" w:cs="Arial"/>
                <w:iCs/>
                <w:color w:val="365F91"/>
                <w:sz w:val="20"/>
                <w:szCs w:val="20"/>
                <w:shd w:val="clear" w:color="auto" w:fill="FFFFFF"/>
              </w:rPr>
              <w:t>ltera o Decreto nº 10.316, de 7 de abril de 2020, para prorrogar o período de pagamento do auxílio emergencial de que trata a Lei nº 13.982, de 2 de abril de 2020.</w:t>
            </w:r>
          </w:p>
          <w:p w:rsidR="001A185A" w:rsidRPr="001F63A6" w:rsidRDefault="001A185A" w:rsidP="001A185A">
            <w:pP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 xml:space="preserve">Vide também: </w:t>
            </w:r>
            <w:hyperlink r:id="rId11" w:history="1">
              <w:r w:rsidRPr="001A185A">
                <w:rPr>
                  <w:rStyle w:val="Hyperlink"/>
                  <w:rFonts w:ascii="Arial" w:hAnsi="Arial" w:cs="Arial"/>
                  <w:iCs/>
                  <w:sz w:val="20"/>
                  <w:szCs w:val="20"/>
                  <w:shd w:val="clear" w:color="auto" w:fill="FFFFFF"/>
                </w:rPr>
                <w:t>Maté</w:t>
              </w:r>
              <w:r w:rsidRPr="001A185A">
                <w:rPr>
                  <w:rStyle w:val="Hyperlink"/>
                  <w:rFonts w:ascii="Arial" w:hAnsi="Arial" w:cs="Arial"/>
                  <w:iCs/>
                  <w:sz w:val="20"/>
                  <w:szCs w:val="20"/>
                  <w:shd w:val="clear" w:color="auto" w:fill="FFFFFF"/>
                </w:rPr>
                <w:t>r</w:t>
              </w:r>
              <w:r w:rsidRPr="001A185A">
                <w:rPr>
                  <w:rStyle w:val="Hyperlink"/>
                  <w:rFonts w:ascii="Arial" w:hAnsi="Arial" w:cs="Arial"/>
                  <w:iCs/>
                  <w:sz w:val="20"/>
                  <w:szCs w:val="20"/>
                  <w:shd w:val="clear" w:color="auto" w:fill="FFFFFF"/>
                </w:rPr>
                <w:t>ia INSS</w:t>
              </w:r>
            </w:hyperlink>
          </w:p>
        </w:tc>
      </w:tr>
      <w:tr w:rsidR="001A185A" w:rsidRPr="0083317F" w:rsidTr="001F63A6">
        <w:tc>
          <w:tcPr>
            <w:tcW w:w="1419" w:type="dxa"/>
            <w:tcMar>
              <w:top w:w="0" w:type="dxa"/>
              <w:left w:w="108" w:type="dxa"/>
              <w:bottom w:w="0" w:type="dxa"/>
              <w:right w:w="108" w:type="dxa"/>
            </w:tcMar>
            <w:vAlign w:val="center"/>
          </w:tcPr>
          <w:p w:rsidR="001A185A" w:rsidRDefault="001A185A" w:rsidP="00F36384">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ANAMATRA</w:t>
            </w:r>
          </w:p>
        </w:tc>
        <w:tc>
          <w:tcPr>
            <w:tcW w:w="2636" w:type="dxa"/>
            <w:tcMar>
              <w:top w:w="0" w:type="dxa"/>
              <w:left w:w="108" w:type="dxa"/>
              <w:bottom w:w="0" w:type="dxa"/>
              <w:right w:w="108" w:type="dxa"/>
            </w:tcMar>
          </w:tcPr>
          <w:p w:rsidR="001A185A" w:rsidRPr="001A185A" w:rsidRDefault="001A185A" w:rsidP="001A185A">
            <w:pPr>
              <w:spacing w:line="252" w:lineRule="auto"/>
              <w:rPr>
                <w:rFonts w:ascii="Arial" w:hAnsi="Arial" w:cs="Arial"/>
                <w:iCs/>
                <w:color w:val="365F91"/>
                <w:sz w:val="20"/>
                <w:szCs w:val="20"/>
                <w:shd w:val="clear" w:color="auto" w:fill="FFFFFF"/>
              </w:rPr>
            </w:pPr>
            <w:hyperlink r:id="rId12" w:history="1">
              <w:r w:rsidRPr="001A185A">
                <w:rPr>
                  <w:rStyle w:val="Hyperlink"/>
                  <w:rFonts w:ascii="Arial" w:hAnsi="Arial" w:cs="Arial"/>
                  <w:iCs/>
                  <w:sz w:val="20"/>
                  <w:szCs w:val="20"/>
                  <w:shd w:val="clear" w:color="auto" w:fill="FFFFFF"/>
                </w:rPr>
                <w:t>Competência da Justiça do Trabalho: Anamatra interpõe Embargos de Declaração para modulação de decisão do STF</w:t>
              </w:r>
            </w:hyperlink>
            <w:r>
              <w:rPr>
                <w:rFonts w:ascii="Arial" w:hAnsi="Arial" w:cs="Arial"/>
                <w:iCs/>
                <w:color w:val="365F91"/>
                <w:sz w:val="20"/>
                <w:szCs w:val="20"/>
                <w:shd w:val="clear" w:color="auto" w:fill="FFFFFF"/>
              </w:rPr>
              <w:t>, disponibilizada em 1º.07.2020</w:t>
            </w:r>
          </w:p>
          <w:p w:rsidR="001A185A" w:rsidRPr="001A185A" w:rsidRDefault="001A185A" w:rsidP="00F36384">
            <w:pPr>
              <w:spacing w:line="252" w:lineRule="auto"/>
              <w:rPr>
                <w:rFonts w:ascii="Arial" w:hAnsi="Arial" w:cs="Arial"/>
                <w:iCs/>
                <w:color w:val="365F91"/>
                <w:sz w:val="20"/>
                <w:szCs w:val="20"/>
                <w:shd w:val="clear" w:color="auto" w:fill="FFFFFF"/>
              </w:rPr>
            </w:pPr>
          </w:p>
        </w:tc>
        <w:tc>
          <w:tcPr>
            <w:tcW w:w="6293" w:type="dxa"/>
            <w:tcMar>
              <w:top w:w="0" w:type="dxa"/>
              <w:left w:w="108" w:type="dxa"/>
              <w:bottom w:w="0" w:type="dxa"/>
              <w:right w:w="108" w:type="dxa"/>
            </w:tcMar>
          </w:tcPr>
          <w:p w:rsidR="001A185A" w:rsidRPr="001A185A" w:rsidRDefault="001A185A" w:rsidP="001A185A">
            <w:pPr>
              <w:rPr>
                <w:rFonts w:ascii="Arial" w:hAnsi="Arial" w:cs="Arial"/>
                <w:iCs/>
                <w:color w:val="365F91"/>
                <w:sz w:val="20"/>
                <w:szCs w:val="20"/>
                <w:shd w:val="clear" w:color="auto" w:fill="FFFFFF"/>
              </w:rPr>
            </w:pPr>
            <w:r w:rsidRPr="001A185A">
              <w:rPr>
                <w:rFonts w:ascii="Arial" w:hAnsi="Arial" w:cs="Arial"/>
                <w:iCs/>
                <w:color w:val="365F91"/>
                <w:sz w:val="20"/>
                <w:szCs w:val="20"/>
                <w:shd w:val="clear" w:color="auto" w:fill="FFFFFF"/>
              </w:rPr>
              <w:t>Corte designou à Justiça Comum a competência para julgar processos referentes ao dano pré-contratual</w:t>
            </w:r>
            <w:r>
              <w:rPr>
                <w:rFonts w:ascii="Arial" w:hAnsi="Arial" w:cs="Arial"/>
                <w:iCs/>
                <w:color w:val="365F91"/>
                <w:sz w:val="20"/>
                <w:szCs w:val="20"/>
                <w:shd w:val="clear" w:color="auto" w:fill="FFFFFF"/>
              </w:rPr>
              <w:t>.</w:t>
            </w:r>
          </w:p>
          <w:p w:rsidR="001A185A" w:rsidRPr="001A185A" w:rsidRDefault="001A185A" w:rsidP="001A185A">
            <w:pPr>
              <w:rPr>
                <w:rFonts w:ascii="Arial" w:hAnsi="Arial" w:cs="Arial"/>
                <w:iCs/>
                <w:color w:val="365F91"/>
                <w:sz w:val="20"/>
                <w:szCs w:val="20"/>
                <w:shd w:val="clear" w:color="auto" w:fill="FFFFFF"/>
              </w:rPr>
            </w:pPr>
            <w:r w:rsidRPr="001A185A">
              <w:rPr>
                <w:rFonts w:ascii="Arial" w:hAnsi="Arial" w:cs="Arial"/>
                <w:iCs/>
                <w:color w:val="365F91"/>
                <w:sz w:val="20"/>
                <w:szCs w:val="20"/>
                <w:shd w:val="clear" w:color="auto" w:fill="FFFFFF"/>
              </w:rPr>
              <w:t>A Associação Nacional dos Magistrados da Justiça do Trabalho (Anamatra), nos autos do Recurso Extraordinário com Repercussão Geral nº 960.429/RN, que tramita no Supremo Tribunal Federal (STF) e no qual figura como _amicus curiae_, interpôs recurso de Embargos de Declaração em face da decisão que afasta da Justiça do Trabalho a competência para processar e julgar controvérsias relacionadas à fase pré-contratual de seleção e de admissão de pessoal e eventual nulidade do certame em face da Administração Pública, direta e indireta, nas hipóteses em que adotado o regime celetista de contratação de pessoal, designando a Justiça Comum como sendo a constitucionalmente competente.</w:t>
            </w:r>
          </w:p>
          <w:p w:rsidR="001A185A" w:rsidRPr="001A185A" w:rsidRDefault="001A185A" w:rsidP="001A185A">
            <w:pPr>
              <w:rPr>
                <w:rFonts w:ascii="Arial" w:hAnsi="Arial" w:cs="Arial"/>
                <w:iCs/>
                <w:color w:val="365F91"/>
                <w:sz w:val="20"/>
                <w:szCs w:val="20"/>
                <w:shd w:val="clear" w:color="auto" w:fill="FFFFFF"/>
              </w:rPr>
            </w:pPr>
            <w:r w:rsidRPr="001A185A">
              <w:rPr>
                <w:rFonts w:ascii="Arial" w:hAnsi="Arial" w:cs="Arial"/>
                <w:iCs/>
                <w:color w:val="365F91"/>
                <w:sz w:val="20"/>
                <w:szCs w:val="20"/>
                <w:shd w:val="clear" w:color="auto" w:fill="FFFFFF"/>
              </w:rPr>
              <w:t>Para a Anamatra, é inquestionável que a referida decisão altera a jurisprudência que estava firmada pelas Turmas do STF sobre a matéria. No documento, a Associação apresenta exemplos de casos semelhantes, que foram julgados, respectivamente, em 2017 e 2018, em que a competência foi designada à Justiça do Trabalho.</w:t>
            </w:r>
          </w:p>
          <w:p w:rsidR="001A185A" w:rsidRPr="005F5231" w:rsidRDefault="001A185A" w:rsidP="00F36384">
            <w:pPr>
              <w:rPr>
                <w:rFonts w:ascii="Arial" w:hAnsi="Arial" w:cs="Arial"/>
                <w:iCs/>
                <w:color w:val="365F91"/>
                <w:sz w:val="20"/>
                <w:szCs w:val="20"/>
                <w:shd w:val="clear" w:color="auto" w:fill="FFFFFF"/>
              </w:rPr>
            </w:pPr>
          </w:p>
        </w:tc>
      </w:tr>
      <w:tr w:rsidR="00A9636B" w:rsidRPr="0083317F" w:rsidTr="001F63A6">
        <w:tc>
          <w:tcPr>
            <w:tcW w:w="1419" w:type="dxa"/>
            <w:tcMar>
              <w:top w:w="0" w:type="dxa"/>
              <w:left w:w="108" w:type="dxa"/>
              <w:bottom w:w="0" w:type="dxa"/>
              <w:right w:w="108" w:type="dxa"/>
            </w:tcMar>
            <w:vAlign w:val="center"/>
          </w:tcPr>
          <w:p w:rsidR="00A9636B" w:rsidRDefault="00896C18" w:rsidP="00F36384">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TRT 1º Região</w:t>
            </w:r>
          </w:p>
        </w:tc>
        <w:tc>
          <w:tcPr>
            <w:tcW w:w="2636" w:type="dxa"/>
            <w:tcMar>
              <w:top w:w="0" w:type="dxa"/>
              <w:left w:w="108" w:type="dxa"/>
              <w:bottom w:w="0" w:type="dxa"/>
              <w:right w:w="108" w:type="dxa"/>
            </w:tcMar>
          </w:tcPr>
          <w:p w:rsidR="00896C18" w:rsidRPr="00896C18" w:rsidRDefault="00896C18" w:rsidP="00896C18">
            <w:pPr>
              <w:spacing w:line="252" w:lineRule="auto"/>
              <w:jc w:val="both"/>
              <w:rPr>
                <w:rFonts w:ascii="Arial" w:hAnsi="Arial" w:cs="Arial"/>
                <w:bCs/>
                <w:iCs/>
                <w:color w:val="365F91"/>
                <w:sz w:val="20"/>
                <w:szCs w:val="20"/>
                <w:shd w:val="clear" w:color="auto" w:fill="FFFFFF"/>
              </w:rPr>
            </w:pPr>
            <w:hyperlink r:id="rId13" w:history="1">
              <w:r w:rsidRPr="00896C18">
                <w:rPr>
                  <w:rStyle w:val="Hyperlink"/>
                  <w:rFonts w:ascii="Arial" w:hAnsi="Arial" w:cs="Arial"/>
                  <w:bCs/>
                  <w:iCs/>
                  <w:sz w:val="20"/>
                  <w:szCs w:val="20"/>
                  <w:shd w:val="clear" w:color="auto" w:fill="FFFFFF"/>
                </w:rPr>
                <w:t>TRT/RJ disponibiliza novos vídeos tutoriais para os usuários do PJe-Calc</w:t>
              </w:r>
            </w:hyperlink>
            <w:r>
              <w:rPr>
                <w:rFonts w:ascii="Arial" w:hAnsi="Arial" w:cs="Arial"/>
                <w:bCs/>
                <w:iCs/>
                <w:color w:val="365F91"/>
                <w:sz w:val="20"/>
                <w:szCs w:val="20"/>
                <w:shd w:val="clear" w:color="auto" w:fill="FFFFFF"/>
              </w:rPr>
              <w:t xml:space="preserve">, </w:t>
            </w:r>
            <w:r>
              <w:rPr>
                <w:rFonts w:ascii="Arial" w:hAnsi="Arial" w:cs="Arial"/>
                <w:iCs/>
                <w:color w:val="365F91"/>
                <w:sz w:val="20"/>
                <w:szCs w:val="20"/>
                <w:shd w:val="clear" w:color="auto" w:fill="FFFFFF"/>
              </w:rPr>
              <w:t>disponibilizada em 1º.07.2020</w:t>
            </w:r>
          </w:p>
          <w:p w:rsidR="00A9636B" w:rsidRPr="00896C18" w:rsidRDefault="00A9636B" w:rsidP="00F36384">
            <w:pPr>
              <w:spacing w:line="252" w:lineRule="auto"/>
              <w:rPr>
                <w:rFonts w:ascii="Arial" w:hAnsi="Arial" w:cs="Arial"/>
                <w:iCs/>
                <w:color w:val="365F91"/>
                <w:sz w:val="20"/>
                <w:szCs w:val="20"/>
                <w:shd w:val="clear" w:color="auto" w:fill="FFFFFF"/>
              </w:rPr>
            </w:pPr>
          </w:p>
        </w:tc>
        <w:tc>
          <w:tcPr>
            <w:tcW w:w="6293" w:type="dxa"/>
            <w:tcMar>
              <w:top w:w="0" w:type="dxa"/>
              <w:left w:w="108" w:type="dxa"/>
              <w:bottom w:w="0" w:type="dxa"/>
              <w:right w:w="108" w:type="dxa"/>
            </w:tcMar>
          </w:tcPr>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A Secretaria-Geral Judiciária (SGJ) do Tribunal Regional do Trabalho da 1ª Região (TRT/RJ), por meio da Assessoria de Implementação de Projetos Judiciários e de Sistemas Judiciários de 1º Grau, comunica aos usuários do sistema PJe-Calc que estão disponíveis na </w:t>
            </w:r>
            <w:hyperlink r:id="rId14" w:history="1">
              <w:r w:rsidRPr="00896C18">
                <w:rPr>
                  <w:rStyle w:val="Hyperlink"/>
                  <w:rFonts w:ascii="Arial" w:hAnsi="Arial" w:cs="Arial"/>
                  <w:iCs/>
                  <w:sz w:val="20"/>
                  <w:szCs w:val="20"/>
                  <w:shd w:val="clear" w:color="auto" w:fill="FFFFFF"/>
                </w:rPr>
                <w:t>página do PJe</w:t>
              </w:r>
            </w:hyperlink>
            <w:hyperlink r:id="rId15" w:history="1">
              <w:r w:rsidRPr="00896C18">
                <w:rPr>
                  <w:rStyle w:val="Hyperlink"/>
                  <w:rFonts w:ascii="Arial" w:hAnsi="Arial" w:cs="Arial"/>
                  <w:b/>
                  <w:bCs/>
                  <w:iCs/>
                  <w:sz w:val="20"/>
                  <w:szCs w:val="20"/>
                  <w:shd w:val="clear" w:color="auto" w:fill="FFFFFF"/>
                </w:rPr>
                <w:t>, </w:t>
              </w:r>
            </w:hyperlink>
            <w:r w:rsidRPr="00896C18">
              <w:rPr>
                <w:rFonts w:ascii="Arial" w:hAnsi="Arial" w:cs="Arial"/>
                <w:iCs/>
                <w:color w:val="365F91"/>
                <w:sz w:val="20"/>
                <w:szCs w:val="20"/>
                <w:shd w:val="clear" w:color="auto" w:fill="FFFFFF"/>
              </w:rPr>
              <w:t>no portal do Regional fluminense, diversos vídeos de capacitação para utilização do sistema.</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Para assisti-los, basta acessar a seção </w:t>
            </w:r>
            <w:r w:rsidRPr="00896C18">
              <w:rPr>
                <w:rFonts w:ascii="Arial" w:hAnsi="Arial" w:cs="Arial"/>
                <w:b/>
                <w:bCs/>
                <w:iCs/>
                <w:color w:val="365F91"/>
                <w:sz w:val="20"/>
                <w:szCs w:val="20"/>
                <w:shd w:val="clear" w:color="auto" w:fill="FFFFFF"/>
              </w:rPr>
              <w:t>"Manuais e vídeos gerais"</w:t>
            </w:r>
            <w:r w:rsidRPr="00896C18">
              <w:rPr>
                <w:rFonts w:ascii="Arial" w:hAnsi="Arial" w:cs="Arial"/>
                <w:iCs/>
                <w:color w:val="365F91"/>
                <w:sz w:val="20"/>
                <w:szCs w:val="20"/>
                <w:shd w:val="clear" w:color="auto" w:fill="FFFFFF"/>
              </w:rPr>
              <w:t>, que direciona para o canal "Conhecendo o PJe-Calc", no YouTube. Em junho, foram disponibilizados os seguintes tutoriais:</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Aula 16: Honorários sucumbenciais e periciais</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Aula 17: Custas judiciais</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Aula 18: Correção, juros e multa</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Aula 19: Atualização de cálculo – Pagamento</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Aula 20: Atualização de cálculo – Pagamento de débitos do reclamante</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Aula 21: Atualização de cálculo – Lançamento da fase de execução</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lastRenderedPageBreak/>
              <w:t>O canal "Conhecendo o PJe-Calc" foi criado pelo servidor Alacid Corrêa Guerreiro, que é chefe da Divisão de Cálculos e Liquidações do TRT da 8ª Região (PA/AP) e Gestor Nacional do Sistema PJe-Calc. O objetivo do canal é capacitar usuários do PJe-Calc, sejam eles servidores, advogados, peritos ou quaisquer cidadãos que desejem se aprofundar no uso do sistema. Lá é possível encontrar vídeos instrutivos acerca do uso da ferramenta, com exemplos práticos e dicas para melhor aproveitar todo o seu potencial.</w:t>
            </w:r>
          </w:p>
          <w:p w:rsidR="00896C18" w:rsidRPr="00896C18" w:rsidRDefault="00896C18" w:rsidP="00896C18">
            <w:pPr>
              <w:rPr>
                <w:rFonts w:ascii="Arial" w:hAnsi="Arial" w:cs="Arial"/>
                <w:iCs/>
                <w:color w:val="365F91"/>
                <w:sz w:val="20"/>
                <w:szCs w:val="20"/>
                <w:shd w:val="clear" w:color="auto" w:fill="FFFFFF"/>
              </w:rPr>
            </w:pPr>
            <w:r w:rsidRPr="00896C18">
              <w:rPr>
                <w:rFonts w:ascii="Arial" w:hAnsi="Arial" w:cs="Arial"/>
                <w:iCs/>
                <w:color w:val="365F91"/>
                <w:sz w:val="20"/>
                <w:szCs w:val="20"/>
                <w:shd w:val="clear" w:color="auto" w:fill="FFFFFF"/>
              </w:rPr>
              <w:t>O caminho da página do PJe no site do TRT/RJ é:</w:t>
            </w:r>
          </w:p>
          <w:p w:rsidR="00A9636B" w:rsidRDefault="00A9636B" w:rsidP="00F36384">
            <w:pPr>
              <w:rPr>
                <w:rFonts w:ascii="Arial" w:hAnsi="Arial" w:cs="Arial"/>
                <w:iCs/>
                <w:color w:val="365F91"/>
                <w:sz w:val="20"/>
                <w:szCs w:val="20"/>
                <w:shd w:val="clear" w:color="auto" w:fill="FFFFFF"/>
              </w:rPr>
            </w:pPr>
          </w:p>
        </w:tc>
      </w:tr>
      <w:tr w:rsidR="00896C18" w:rsidRPr="0083317F" w:rsidTr="001F63A6">
        <w:tc>
          <w:tcPr>
            <w:tcW w:w="1419" w:type="dxa"/>
            <w:tcMar>
              <w:top w:w="0" w:type="dxa"/>
              <w:left w:w="108" w:type="dxa"/>
              <w:bottom w:w="0" w:type="dxa"/>
              <w:right w:w="108" w:type="dxa"/>
            </w:tcMar>
            <w:vAlign w:val="center"/>
          </w:tcPr>
          <w:p w:rsidR="00896C18" w:rsidRDefault="00896C18" w:rsidP="00F36384">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lastRenderedPageBreak/>
              <w:t>MPT</w:t>
            </w:r>
          </w:p>
        </w:tc>
        <w:tc>
          <w:tcPr>
            <w:tcW w:w="2636" w:type="dxa"/>
            <w:tcMar>
              <w:top w:w="0" w:type="dxa"/>
              <w:left w:w="108" w:type="dxa"/>
              <w:bottom w:w="0" w:type="dxa"/>
              <w:right w:w="108" w:type="dxa"/>
            </w:tcMar>
          </w:tcPr>
          <w:p w:rsidR="00896C18" w:rsidRPr="00896C18" w:rsidRDefault="00896C18" w:rsidP="00896C18">
            <w:pPr>
              <w:spacing w:line="252" w:lineRule="auto"/>
              <w:jc w:val="both"/>
              <w:rPr>
                <w:rFonts w:ascii="Arial" w:hAnsi="Arial" w:cs="Arial"/>
                <w:bCs/>
                <w:iCs/>
                <w:color w:val="365F91"/>
                <w:sz w:val="20"/>
                <w:szCs w:val="20"/>
                <w:shd w:val="clear" w:color="auto" w:fill="FFFFFF"/>
              </w:rPr>
            </w:pPr>
            <w:hyperlink r:id="rId16" w:history="1">
              <w:r w:rsidRPr="00896C18">
                <w:rPr>
                  <w:rStyle w:val="Hyperlink"/>
                  <w:rFonts w:ascii="Arial" w:hAnsi="Arial" w:cs="Arial"/>
                  <w:bCs/>
                  <w:iCs/>
                  <w:sz w:val="20"/>
                  <w:szCs w:val="20"/>
                  <w:shd w:val="clear" w:color="auto" w:fill="FFFFFF"/>
                </w:rPr>
                <w:t>MPT apoia projeto que aproxima consumidores de micro e pequenos empreendedores de serviços essenciais</w:t>
              </w:r>
            </w:hyperlink>
            <w:r>
              <w:rPr>
                <w:rFonts w:ascii="Arial" w:hAnsi="Arial" w:cs="Arial"/>
                <w:bCs/>
                <w:iCs/>
                <w:color w:val="365F91"/>
                <w:sz w:val="20"/>
                <w:szCs w:val="20"/>
                <w:shd w:val="clear" w:color="auto" w:fill="FFFFFF"/>
              </w:rPr>
              <w:t xml:space="preserve">, </w:t>
            </w:r>
            <w:r w:rsidR="000D5EB9">
              <w:rPr>
                <w:rFonts w:ascii="Arial" w:hAnsi="Arial" w:cs="Arial"/>
                <w:iCs/>
                <w:color w:val="365F91"/>
                <w:sz w:val="20"/>
                <w:szCs w:val="20"/>
                <w:shd w:val="clear" w:color="auto" w:fill="FFFFFF"/>
              </w:rPr>
              <w:t>disponibilizada em 1º.07.2020</w:t>
            </w:r>
          </w:p>
          <w:p w:rsidR="00896C18" w:rsidRPr="00896C18" w:rsidRDefault="00896C18" w:rsidP="00896C18">
            <w:pPr>
              <w:spacing w:line="252" w:lineRule="auto"/>
              <w:jc w:val="both"/>
              <w:rPr>
                <w:rFonts w:ascii="Arial" w:hAnsi="Arial" w:cs="Arial"/>
                <w:bCs/>
                <w:iCs/>
                <w:color w:val="365F91"/>
                <w:sz w:val="20"/>
                <w:szCs w:val="20"/>
                <w:shd w:val="clear" w:color="auto" w:fill="FFFFFF"/>
              </w:rPr>
            </w:pPr>
          </w:p>
        </w:tc>
        <w:tc>
          <w:tcPr>
            <w:tcW w:w="6293" w:type="dxa"/>
            <w:tcMar>
              <w:top w:w="0" w:type="dxa"/>
              <w:left w:w="108" w:type="dxa"/>
              <w:bottom w:w="0" w:type="dxa"/>
              <w:right w:w="108" w:type="dxa"/>
            </w:tcMar>
          </w:tcPr>
          <w:p w:rsidR="00896C18" w:rsidRPr="00896C18" w:rsidRDefault="000D5EB9" w:rsidP="00896C18">
            <w:pPr>
              <w:rPr>
                <w:rFonts w:ascii="Arial" w:hAnsi="Arial" w:cs="Arial"/>
                <w:iCs/>
                <w:color w:val="365F91"/>
                <w:sz w:val="20"/>
                <w:szCs w:val="20"/>
                <w:shd w:val="clear" w:color="auto" w:fill="FFFFFF"/>
              </w:rPr>
            </w:pPr>
            <w:r w:rsidRPr="000D5EB9">
              <w:rPr>
                <w:rFonts w:ascii="Arial" w:hAnsi="Arial" w:cs="Arial"/>
                <w:iCs/>
                <w:color w:val="365F91"/>
                <w:sz w:val="20"/>
                <w:szCs w:val="20"/>
                <w:shd w:val="clear" w:color="auto" w:fill="FFFFFF"/>
              </w:rPr>
              <w:t>Plataforma “Fique No Lar” divulga estabelecimentos comerciais que oferecem delivery ou retirada de produtos</w:t>
            </w:r>
          </w:p>
        </w:tc>
      </w:tr>
      <w:tr w:rsidR="006E4F93" w:rsidTr="001F63A6">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F93" w:rsidRDefault="006E4F93" w:rsidP="007E434F">
            <w:pPr>
              <w:spacing w:line="256" w:lineRule="auto"/>
              <w:jc w:val="center"/>
              <w:rPr>
                <w:rFonts w:ascii="Arial" w:hAnsi="Arial" w:cs="Arial"/>
                <w:color w:val="365F91"/>
                <w:sz w:val="20"/>
                <w:szCs w:val="20"/>
              </w:rPr>
            </w:pPr>
            <w:r>
              <w:rPr>
                <w:rFonts w:ascii="Arial" w:hAnsi="Arial" w:cs="Arial"/>
                <w:color w:val="365F91"/>
                <w:sz w:val="20"/>
                <w:szCs w:val="20"/>
              </w:rPr>
              <w:t>STJ</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F93" w:rsidRDefault="006E4F93" w:rsidP="007E434F">
            <w:pPr>
              <w:spacing w:line="256" w:lineRule="auto"/>
              <w:rPr>
                <w:rFonts w:ascii="Arial" w:hAnsi="Arial" w:cs="Arial"/>
                <w:color w:val="365F91"/>
                <w:sz w:val="20"/>
                <w:szCs w:val="20"/>
              </w:rPr>
            </w:pPr>
            <w:r>
              <w:rPr>
                <w:rFonts w:ascii="Arial" w:hAnsi="Arial" w:cs="Arial"/>
                <w:color w:val="365F91"/>
                <w:sz w:val="20"/>
                <w:szCs w:val="20"/>
              </w:rPr>
              <w:t xml:space="preserve">Notícia - </w:t>
            </w:r>
            <w:hyperlink r:id="rId17" w:history="1">
              <w:r w:rsidRPr="006B5BF8">
                <w:rPr>
                  <w:rStyle w:val="Hyperlink"/>
                  <w:rFonts w:ascii="Arial" w:hAnsi="Arial" w:cs="Arial"/>
                  <w:sz w:val="20"/>
                  <w:szCs w:val="20"/>
                </w:rPr>
                <w:t>Ministro restitui prazo após única advogada da parte contrair Covid-19</w:t>
              </w:r>
            </w:hyperlink>
            <w:r>
              <w:rPr>
                <w:rFonts w:ascii="Arial" w:hAnsi="Arial" w:cs="Arial"/>
                <w:color w:val="365F91"/>
                <w:sz w:val="20"/>
                <w:szCs w:val="20"/>
              </w:rPr>
              <w:t>, disponibilizada em 01.07</w:t>
            </w:r>
            <w:r w:rsidRPr="006A2380">
              <w:rPr>
                <w:rFonts w:ascii="Arial" w:hAnsi="Arial" w:cs="Arial"/>
                <w:color w:val="365F91"/>
                <w:sz w:val="20"/>
                <w:szCs w:val="20"/>
              </w:rPr>
              <w:t>.2020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F93" w:rsidRPr="006A2380" w:rsidRDefault="006E4F93" w:rsidP="007E434F">
            <w:pPr>
              <w:spacing w:line="300" w:lineRule="auto"/>
              <w:rPr>
                <w:rFonts w:ascii="Arial" w:hAnsi="Arial" w:cs="Arial"/>
                <w:color w:val="365F91"/>
                <w:sz w:val="20"/>
                <w:szCs w:val="20"/>
                <w:shd w:val="clear" w:color="auto" w:fill="FFFFFF"/>
              </w:rPr>
            </w:pPr>
            <w:r w:rsidRPr="006B5BF8">
              <w:rPr>
                <w:rFonts w:ascii="Arial" w:hAnsi="Arial" w:cs="Arial"/>
                <w:color w:val="365F91"/>
                <w:sz w:val="20"/>
                <w:szCs w:val="20"/>
                <w:shd w:val="clear" w:color="auto" w:fill="FFFFFF"/>
              </w:rPr>
              <w:t>O ministro do Superior Tribunal de Justiça (STJ) Paulo de Tarso Sanseverino decidiu restituir o prazo processual em um agravo em recurso especial em virtude de a única advogada constituída por uma das partes ter sido acometida pe</w:t>
            </w:r>
            <w:r>
              <w:rPr>
                <w:rFonts w:ascii="Arial" w:hAnsi="Arial" w:cs="Arial"/>
                <w:color w:val="365F91"/>
                <w:sz w:val="20"/>
                <w:szCs w:val="20"/>
                <w:shd w:val="clear" w:color="auto" w:fill="FFFFFF"/>
              </w:rPr>
              <w:t xml:space="preserve">lo novo coronavírus (Covid-19). </w:t>
            </w:r>
            <w:r w:rsidRPr="006B5BF8">
              <w:rPr>
                <w:rFonts w:ascii="Arial" w:hAnsi="Arial" w:cs="Arial"/>
                <w:color w:val="365F91"/>
                <w:sz w:val="20"/>
                <w:szCs w:val="20"/>
                <w:shd w:val="clear" w:color="auto" w:fill="FFFFFF"/>
              </w:rPr>
              <w:t xml:space="preserve">No pedido de devolução do prazo, a advogada apresentou atestado médico com a recomendação de que, em razão da doença, ela deveria ficar afastada de suas atividades profissionais e permanecer em isolamento domiciliar durante 21 dias, contados da </w:t>
            </w:r>
            <w:r>
              <w:rPr>
                <w:rFonts w:ascii="Arial" w:hAnsi="Arial" w:cs="Arial"/>
                <w:color w:val="365F91"/>
                <w:sz w:val="20"/>
                <w:szCs w:val="20"/>
                <w:shd w:val="clear" w:color="auto" w:fill="FFFFFF"/>
              </w:rPr>
              <w:t xml:space="preserve">realização do teste sorológico. </w:t>
            </w:r>
            <w:r w:rsidRPr="006B5BF8">
              <w:rPr>
                <w:rFonts w:ascii="Arial" w:hAnsi="Arial" w:cs="Arial"/>
                <w:color w:val="365F91"/>
                <w:sz w:val="20"/>
                <w:szCs w:val="20"/>
                <w:shd w:val="clear" w:color="auto" w:fill="FFFFFF"/>
              </w:rPr>
              <w:t xml:space="preserve">Além disso, a advogada alegou que, também por causa da pandemia, não conseguiu substabelecer o mandato a outro profissional, tendo em vista que os advogados que atuam na sua região estão em quarentena ou em isolamento. </w:t>
            </w:r>
          </w:p>
        </w:tc>
      </w:tr>
      <w:tr w:rsidR="006E4F93" w:rsidTr="001F63A6">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4F93" w:rsidRDefault="006E4F93" w:rsidP="007E434F">
            <w:pPr>
              <w:spacing w:line="256" w:lineRule="auto"/>
              <w:jc w:val="center"/>
              <w:rPr>
                <w:rFonts w:ascii="Arial" w:hAnsi="Arial" w:cs="Arial"/>
                <w:color w:val="365F91"/>
                <w:sz w:val="20"/>
                <w:szCs w:val="20"/>
              </w:rPr>
            </w:pPr>
            <w:r>
              <w:rPr>
                <w:rFonts w:ascii="Arial" w:hAnsi="Arial" w:cs="Arial"/>
                <w:color w:val="365F91"/>
                <w:sz w:val="20"/>
                <w:szCs w:val="20"/>
              </w:rPr>
              <w:t>Prefeitura do Rio de Janeiro</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F93" w:rsidRDefault="006E4F93" w:rsidP="007E434F">
            <w:pPr>
              <w:spacing w:line="256" w:lineRule="auto"/>
              <w:rPr>
                <w:rFonts w:ascii="Arial" w:hAnsi="Arial" w:cs="Arial"/>
                <w:color w:val="365F91"/>
                <w:sz w:val="20"/>
                <w:szCs w:val="20"/>
              </w:rPr>
            </w:pPr>
            <w:hyperlink r:id="rId18" w:history="1">
              <w:r w:rsidRPr="006B5BF8">
                <w:rPr>
                  <w:rStyle w:val="Hyperlink"/>
                  <w:rFonts w:ascii="Arial" w:hAnsi="Arial" w:cs="Arial"/>
                  <w:sz w:val="20"/>
                  <w:szCs w:val="20"/>
                </w:rPr>
                <w:t>POTARIA TR/SUBT Nº 03 DE 29 DE JUNHO DE 2020</w:t>
              </w:r>
            </w:hyperlink>
            <w:r>
              <w:rPr>
                <w:rFonts w:ascii="Arial" w:hAnsi="Arial" w:cs="Arial"/>
                <w:color w:val="365F91"/>
                <w:sz w:val="20"/>
                <w:szCs w:val="20"/>
              </w:rPr>
              <w:t>, publicada no D.O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4F93" w:rsidRPr="006252C5" w:rsidRDefault="006E4F93" w:rsidP="007E434F">
            <w:pPr>
              <w:spacing w:line="300" w:lineRule="auto"/>
              <w:rPr>
                <w:rFonts w:ascii="Arial" w:hAnsi="Arial" w:cs="Arial"/>
                <w:color w:val="365F91"/>
                <w:sz w:val="20"/>
                <w:szCs w:val="20"/>
                <w:shd w:val="clear" w:color="auto" w:fill="FFFFFF"/>
              </w:rPr>
            </w:pPr>
            <w:r w:rsidRPr="006B5BF8">
              <w:rPr>
                <w:rFonts w:ascii="Arial" w:hAnsi="Arial" w:cs="Arial"/>
                <w:color w:val="365F91"/>
                <w:sz w:val="20"/>
                <w:szCs w:val="20"/>
                <w:shd w:val="clear" w:color="auto" w:fill="FFFFFF"/>
              </w:rPr>
              <w:t xml:space="preserve">Estabelece medidas adicionais para enfrentamento da pandemia do novo Coronavírus - COVID-19 no Serviço Público de Transporte de Passageiros por Ônibus </w:t>
            </w:r>
            <w:r>
              <w:rPr>
                <w:rFonts w:ascii="Arial" w:hAnsi="Arial" w:cs="Arial"/>
                <w:color w:val="365F91"/>
                <w:sz w:val="20"/>
                <w:szCs w:val="20"/>
                <w:shd w:val="clear" w:color="auto" w:fill="FFFFFF"/>
              </w:rPr>
              <w:t>–</w:t>
            </w:r>
            <w:r w:rsidRPr="006B5BF8">
              <w:rPr>
                <w:rFonts w:ascii="Arial" w:hAnsi="Arial" w:cs="Arial"/>
                <w:color w:val="365F91"/>
                <w:sz w:val="20"/>
                <w:szCs w:val="20"/>
                <w:shd w:val="clear" w:color="auto" w:fill="FFFFFF"/>
              </w:rPr>
              <w:t xml:space="preserve"> SPPO</w:t>
            </w:r>
            <w:r>
              <w:rPr>
                <w:rFonts w:ascii="Arial" w:hAnsi="Arial" w:cs="Arial"/>
                <w:color w:val="365F91"/>
                <w:sz w:val="20"/>
                <w:szCs w:val="20"/>
                <w:shd w:val="clear" w:color="auto" w:fill="FFFFFF"/>
              </w:rPr>
              <w:t>.</w:t>
            </w:r>
          </w:p>
        </w:tc>
      </w:tr>
      <w:tr w:rsidR="002A5EBD" w:rsidTr="007E434F">
        <w:tc>
          <w:tcPr>
            <w:tcW w:w="14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ERJ</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19" w:history="1">
              <w:r w:rsidRPr="00C113AC">
                <w:rPr>
                  <w:rStyle w:val="Hyperlink"/>
                  <w:rFonts w:ascii="Arial" w:hAnsi="Arial" w:cs="Arial"/>
                  <w:iCs/>
                  <w:sz w:val="20"/>
                  <w:szCs w:val="20"/>
                  <w:shd w:val="clear" w:color="auto" w:fill="FFFFFF"/>
                </w:rPr>
                <w:t>Lei Estadual 8.916 de 30.06.2020</w:t>
              </w:r>
            </w:hyperlink>
            <w:r>
              <w:rPr>
                <w:rFonts w:ascii="Arial" w:hAnsi="Arial" w:cs="Arial"/>
                <w:iCs/>
                <w:color w:val="365F91"/>
                <w:sz w:val="20"/>
                <w:szCs w:val="20"/>
                <w:shd w:val="clear" w:color="auto" w:fill="FFFFFF"/>
              </w:rPr>
              <w:t>, publicada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5F5231" w:rsidRDefault="002A5EBD" w:rsidP="002A5EBD">
            <w:pP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 xml:space="preserve">Dispõe sobre a desinfecção das escolas, universidades, bibliotecas, teatros públicos e privados, no âmbito do Estado do Rio de Janeiro, antes do retorno às suas atividades. </w:t>
            </w:r>
          </w:p>
        </w:tc>
      </w:tr>
      <w:tr w:rsidR="002A5EBD" w:rsidTr="007E434F">
        <w:tc>
          <w:tcPr>
            <w:tcW w:w="1419" w:type="dxa"/>
            <w:vMerge/>
            <w:tcBorders>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0" w:history="1">
              <w:r w:rsidRPr="00C113AC">
                <w:rPr>
                  <w:rStyle w:val="Hyperlink"/>
                  <w:rFonts w:ascii="Arial" w:hAnsi="Arial" w:cs="Arial"/>
                  <w:iCs/>
                  <w:sz w:val="20"/>
                  <w:szCs w:val="20"/>
                  <w:shd w:val="clear" w:color="auto" w:fill="FFFFFF"/>
                </w:rPr>
                <w:t>Lei Estadual 8.917 de 30.06.2020</w:t>
              </w:r>
            </w:hyperlink>
            <w:r>
              <w:rPr>
                <w:rFonts w:ascii="Arial" w:hAnsi="Arial" w:cs="Arial"/>
                <w:iCs/>
                <w:color w:val="365F91"/>
                <w:sz w:val="20"/>
                <w:szCs w:val="20"/>
                <w:shd w:val="clear" w:color="auto" w:fill="FFFFFF"/>
              </w:rPr>
              <w:t>, publicada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5F5231" w:rsidRDefault="002A5EBD" w:rsidP="002A5EBD">
            <w:pP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 xml:space="preserve">Proíbe as instituições bancárias de usarem o valor do auxílio emergencial federal instituído em razão da pandemia do novo coronavírus para descontar dívidas dos beneficiários. </w:t>
            </w:r>
          </w:p>
        </w:tc>
      </w:tr>
      <w:tr w:rsidR="002A5EBD" w:rsidTr="007E434F">
        <w:tc>
          <w:tcPr>
            <w:tcW w:w="1419" w:type="dxa"/>
            <w:vMerge/>
            <w:tcBorders>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1" w:history="1">
              <w:r w:rsidRPr="00C113AC">
                <w:rPr>
                  <w:rStyle w:val="Hyperlink"/>
                  <w:rFonts w:ascii="Arial" w:hAnsi="Arial" w:cs="Arial"/>
                  <w:iCs/>
                  <w:sz w:val="20"/>
                  <w:szCs w:val="20"/>
                  <w:shd w:val="clear" w:color="auto" w:fill="FFFFFF"/>
                </w:rPr>
                <w:t>Lei Estadual 8.919 de 30.06.2020</w:t>
              </w:r>
            </w:hyperlink>
            <w:r>
              <w:rPr>
                <w:rFonts w:ascii="Arial" w:hAnsi="Arial" w:cs="Arial"/>
                <w:iCs/>
                <w:color w:val="365F91"/>
                <w:sz w:val="20"/>
                <w:szCs w:val="20"/>
                <w:shd w:val="clear" w:color="auto" w:fill="FFFFFF"/>
              </w:rPr>
              <w:t>, publicada em 01.07.2020</w:t>
            </w:r>
          </w:p>
          <w:p w:rsidR="002A5EBD" w:rsidRDefault="002A5EBD" w:rsidP="007E434F">
            <w:pPr>
              <w:spacing w:line="252" w:lineRule="auto"/>
              <w:rPr>
                <w:rFonts w:ascii="Arial" w:hAnsi="Arial" w:cs="Arial"/>
                <w:iCs/>
                <w:color w:val="365F91"/>
                <w:sz w:val="20"/>
                <w:szCs w:val="20"/>
                <w:shd w:val="clear" w:color="auto" w:fill="FFFFFF"/>
              </w:rPr>
            </w:pP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5F5231" w:rsidRDefault="002A5EBD" w:rsidP="002A5EBD">
            <w:pP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 xml:space="preserve">Dispõe sobre a relação consumidor/prestador de serviço durante a vigência do Decreto 46.973/2020 que reconhece a situação de emergência na saúde pública do Estado do Rio de Janeiro em razão do contágio e adota medidas de enfrentamento da propagação decorrente do novo coronavírus. </w:t>
            </w:r>
          </w:p>
        </w:tc>
      </w:tr>
      <w:tr w:rsidR="002A5EBD" w:rsidTr="007E434F">
        <w:tc>
          <w:tcPr>
            <w:tcW w:w="1419" w:type="dxa"/>
            <w:vMerge/>
            <w:tcBorders>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2" w:history="1">
              <w:r w:rsidRPr="002E1DA8">
                <w:rPr>
                  <w:rStyle w:val="Hyperlink"/>
                  <w:rFonts w:ascii="Arial" w:hAnsi="Arial" w:cs="Arial"/>
                  <w:iCs/>
                  <w:sz w:val="20"/>
                  <w:szCs w:val="20"/>
                  <w:shd w:val="clear" w:color="auto" w:fill="FFFFFF"/>
                </w:rPr>
                <w:t>Lei Estadual 8.923 de 30.06.2020</w:t>
              </w:r>
            </w:hyperlink>
            <w:r>
              <w:rPr>
                <w:rFonts w:ascii="Arial" w:hAnsi="Arial" w:cs="Arial"/>
                <w:iCs/>
                <w:color w:val="365F91"/>
                <w:sz w:val="20"/>
                <w:szCs w:val="20"/>
                <w:shd w:val="clear" w:color="auto" w:fill="FFFFFF"/>
              </w:rPr>
              <w:t>, publicada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5F5231" w:rsidRDefault="002A5EBD" w:rsidP="007E434F">
            <w:pP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 xml:space="preserve">Garante abono de falta ao trabalho aos servidores e funcionários públicos estaduais afetados pelo surto de coronavírus. </w:t>
            </w:r>
          </w:p>
        </w:tc>
      </w:tr>
      <w:tr w:rsidR="002A5EBD" w:rsidTr="007E434F">
        <w:tc>
          <w:tcPr>
            <w:tcW w:w="14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3" w:history="1">
              <w:r w:rsidRPr="002E1DA8">
                <w:rPr>
                  <w:rStyle w:val="Hyperlink"/>
                  <w:rFonts w:ascii="Arial" w:hAnsi="Arial" w:cs="Arial"/>
                  <w:iCs/>
                  <w:sz w:val="20"/>
                  <w:szCs w:val="20"/>
                  <w:shd w:val="clear" w:color="auto" w:fill="FFFFFF"/>
                </w:rPr>
                <w:t>Decreto Estadual 47.150 de 30.06.2020</w:t>
              </w:r>
            </w:hyperlink>
            <w:r>
              <w:rPr>
                <w:rFonts w:ascii="Arial" w:hAnsi="Arial" w:cs="Arial"/>
                <w:iCs/>
                <w:color w:val="365F91"/>
                <w:sz w:val="20"/>
                <w:szCs w:val="20"/>
                <w:shd w:val="clear" w:color="auto" w:fill="FFFFFF"/>
              </w:rPr>
              <w:t>, publicado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5F5231" w:rsidRDefault="002A5EBD" w:rsidP="007E434F">
            <w:pP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 xml:space="preserve">Dispõe sobre novas medidas relacionadas às operações do transporte complementar rodoviário de passageiros no período atual de enfrentamento do novo coronavírus. </w:t>
            </w:r>
          </w:p>
        </w:tc>
      </w:tr>
      <w:tr w:rsidR="002A5EBD" w:rsidTr="007E434F">
        <w:tc>
          <w:tcPr>
            <w:tcW w:w="14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OAB</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4" w:history="1">
              <w:r w:rsidRPr="000D7E34">
                <w:rPr>
                  <w:rStyle w:val="Hyperlink"/>
                  <w:rFonts w:ascii="Arial" w:hAnsi="Arial" w:cs="Arial"/>
                  <w:iCs/>
                  <w:sz w:val="20"/>
                  <w:szCs w:val="20"/>
                  <w:shd w:val="clear" w:color="auto" w:fill="FFFFFF"/>
                </w:rPr>
                <w:t>Após anúncio de greve dos serventuários, OABRJ pede ao TJ esforço nas negociações com sindicato</w:t>
              </w:r>
            </w:hyperlink>
            <w:r>
              <w:rPr>
                <w:rFonts w:ascii="Arial" w:hAnsi="Arial" w:cs="Arial"/>
                <w:iCs/>
                <w:color w:val="365F91"/>
                <w:sz w:val="20"/>
                <w:szCs w:val="20"/>
                <w:shd w:val="clear" w:color="auto" w:fill="FFFFFF"/>
              </w:rPr>
              <w:t>, disponibilizado em 01.07.2020</w:t>
            </w:r>
          </w:p>
          <w:p w:rsidR="002A5EBD" w:rsidRDefault="002A5EBD" w:rsidP="007E434F">
            <w:pPr>
              <w:spacing w:line="252" w:lineRule="auto"/>
              <w:rPr>
                <w:rFonts w:ascii="Arial" w:hAnsi="Arial" w:cs="Arial"/>
                <w:iCs/>
                <w:color w:val="365F91"/>
                <w:sz w:val="20"/>
                <w:szCs w:val="20"/>
                <w:shd w:val="clear" w:color="auto" w:fill="FFFFFF"/>
              </w:rPr>
            </w:pP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0D7E34"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 xml:space="preserve">A OABRJ oficiou ao Tribunal de Justiça, nesta quarta-feira, dia 1º, para defender o estabelecimento de diálogo entre a corte e os serventuários, representados pelo Sindicato dos Servidores do Poder Judiciário (SindJustiça-RJ), em prol de uma solução para o impasse que ronda a retomada do funcionamento presencial das estruturas da Justiça estadual. </w:t>
            </w:r>
          </w:p>
          <w:p w:rsidR="002A5EBD" w:rsidRPr="000D7E34"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 xml:space="preserve">De acordo com o calendário divulgado pelo TJ, o plano de retorno seria gradual e sensível à classificação de risco da pandemia da Covid-19. O processo começaria no dia 29 de junho e iria até o dia 27 de julho, quando ocorreria uma reabertura aos jurisdicionados atendida por, no máximo, 50% do efetivo. </w:t>
            </w:r>
          </w:p>
          <w:p w:rsidR="002A5EBD" w:rsidRPr="000D7E34"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O SindJustiça-RJ, no entanto, orientou que os servidores não retornassem ao trabalho presencial, numa chamada “Greve pela Vida”. A Seccional reagiu com repúdio ao anúncio, que classificou como um ato de extremismo e de egoísmo corporativo.</w:t>
            </w:r>
          </w:p>
          <w:p w:rsidR="002A5EBD"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Para a OABRJ, “o momento atípico exige diálogo e compreensão de todas as partes envolvidas na busca por segurança jurídica e pela efetiva prestação jurisdicional”.</w:t>
            </w:r>
          </w:p>
          <w:p w:rsidR="002A5EBD" w:rsidRPr="005F5231" w:rsidRDefault="002A5EBD" w:rsidP="007E434F">
            <w:pPr>
              <w:rPr>
                <w:rFonts w:ascii="Arial" w:hAnsi="Arial" w:cs="Arial"/>
                <w:iCs/>
                <w:color w:val="365F91"/>
                <w:sz w:val="20"/>
                <w:szCs w:val="20"/>
                <w:shd w:val="clear" w:color="auto" w:fill="FFFFFF"/>
              </w:rPr>
            </w:pPr>
          </w:p>
        </w:tc>
      </w:tr>
      <w:tr w:rsidR="002A5EBD" w:rsidTr="007E434F">
        <w:tc>
          <w:tcPr>
            <w:tcW w:w="14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5" w:history="1">
              <w:r w:rsidRPr="000D7E34">
                <w:rPr>
                  <w:rStyle w:val="Hyperlink"/>
                  <w:rFonts w:ascii="Arial" w:hAnsi="Arial" w:cs="Arial"/>
                  <w:iCs/>
                  <w:sz w:val="20"/>
                  <w:szCs w:val="20"/>
                  <w:shd w:val="clear" w:color="auto" w:fill="FFFFFF"/>
                </w:rPr>
                <w:t>OAB divulga reuniões dos órgãos colegiados e prorroga o teletrabalho de servidores</w:t>
              </w:r>
            </w:hyperlink>
            <w:r>
              <w:rPr>
                <w:rFonts w:ascii="Arial" w:hAnsi="Arial" w:cs="Arial"/>
                <w:iCs/>
                <w:color w:val="365F91"/>
                <w:sz w:val="20"/>
                <w:szCs w:val="20"/>
                <w:shd w:val="clear" w:color="auto" w:fill="FFFFFF"/>
              </w:rPr>
              <w:t>, disponibilizada em 01.07.2020</w:t>
            </w:r>
          </w:p>
          <w:p w:rsidR="002A5EBD" w:rsidRDefault="002A5EBD" w:rsidP="007E434F">
            <w:pPr>
              <w:spacing w:line="252" w:lineRule="auto"/>
              <w:rPr>
                <w:rFonts w:ascii="Arial" w:hAnsi="Arial" w:cs="Arial"/>
                <w:iCs/>
                <w:color w:val="365F91"/>
                <w:sz w:val="20"/>
                <w:szCs w:val="20"/>
                <w:shd w:val="clear" w:color="auto" w:fill="FFFFFF"/>
              </w:rPr>
            </w:pP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0D7E34"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A diretoria da OAB Nacional convocou reuniões virtuais extraordinárias do Colégio de Presidentes dos Conselhos Seccionais da OAB e as sessões virtuais do Conselho Pleno e dos órgãos julgadores para o mês de julho. A OAB ainda prorrogou o teletrabalho dos servidores do Conselho Federal.</w:t>
            </w:r>
          </w:p>
          <w:p w:rsidR="002A5EBD" w:rsidRPr="000D7E34"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As medidas foram adotadas pela diretoria visando à contenção, prevenção e redução dos riscos de disseminação e contágio do coronavírus, em atenção as orientações das autoridades sanitárias.</w:t>
            </w:r>
          </w:p>
          <w:p w:rsidR="002A5EBD" w:rsidRPr="000D7E34"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A dispensa da jornada de trabalho presencial de servidores, demais colaboradores e terceirizados será até o dia 15 de julho, com possibilidade. Os setores de funcionamento indispensável devem manter um servidor em regime de plantão, com a necessária observação dos protocolos de segurança sanitária.</w:t>
            </w:r>
          </w:p>
          <w:p w:rsidR="002A5EBD" w:rsidRPr="005F5231"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No dia 13 de julho acontece a reunião extraordinária do Colégio de Presidentes dos Conselhos Seccionais da OAB, por videoconferência, que terá como pauta o prosseguimento dos debates sobre temas da advocacia diante da pandemia da Covid-19. No dia 20, será realizada a segunda reunião virtual do Conselho Pleno e nos dias 23 e 24 de julho ocorrem as sessões dos órgãos julgadores do Conselho Federal.</w:t>
            </w:r>
          </w:p>
        </w:tc>
      </w:tr>
      <w:tr w:rsidR="002A5EBD" w:rsidTr="001F63A6">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IBDFAM</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6" w:history="1">
              <w:r w:rsidRPr="000D7E34">
                <w:rPr>
                  <w:rStyle w:val="Hyperlink"/>
                  <w:rFonts w:ascii="Arial" w:hAnsi="Arial" w:cs="Arial"/>
                  <w:iCs/>
                  <w:sz w:val="20"/>
                  <w:szCs w:val="20"/>
                  <w:shd w:val="clear" w:color="auto" w:fill="FFFFFF"/>
                </w:rPr>
                <w:t xml:space="preserve">PL prevê trabalho remoto a pais de filhos com creches e escolas </w:t>
              </w:r>
              <w:r w:rsidRPr="000D7E34">
                <w:rPr>
                  <w:rStyle w:val="Hyperlink"/>
                  <w:rFonts w:ascii="Arial" w:hAnsi="Arial" w:cs="Arial"/>
                  <w:iCs/>
                  <w:sz w:val="20"/>
                  <w:szCs w:val="20"/>
                  <w:shd w:val="clear" w:color="auto" w:fill="FFFFFF"/>
                </w:rPr>
                <w:lastRenderedPageBreak/>
                <w:t>fechadas</w:t>
              </w:r>
            </w:hyperlink>
            <w:r>
              <w:rPr>
                <w:rFonts w:ascii="Arial" w:hAnsi="Arial" w:cs="Arial"/>
                <w:iCs/>
                <w:color w:val="365F91"/>
                <w:sz w:val="20"/>
                <w:szCs w:val="20"/>
                <w:shd w:val="clear" w:color="auto" w:fill="FFFFFF"/>
              </w:rPr>
              <w:t>, disponibilizada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0D7E34"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lastRenderedPageBreak/>
              <w:t xml:space="preserve">Tramita no Senado Federal o Projeto de Lei - PL 3.428/2020, que busca oferecer o direito pelo trabalho remoto aos pais cujos filhos </w:t>
            </w:r>
            <w:r w:rsidRPr="000D7E34">
              <w:rPr>
                <w:rFonts w:ascii="Arial" w:hAnsi="Arial" w:cs="Arial"/>
                <w:iCs/>
                <w:color w:val="365F91"/>
                <w:sz w:val="20"/>
                <w:szCs w:val="20"/>
                <w:shd w:val="clear" w:color="auto" w:fill="FFFFFF"/>
              </w:rPr>
              <w:lastRenderedPageBreak/>
              <w:t>estão sem creche ou escola, durante o período da pandemia causada pela Covid-19.</w:t>
            </w:r>
          </w:p>
          <w:p w:rsidR="002A5EBD" w:rsidRPr="005F5231" w:rsidRDefault="002A5EBD" w:rsidP="007E434F">
            <w:pPr>
              <w:rPr>
                <w:rFonts w:ascii="Arial" w:hAnsi="Arial" w:cs="Arial"/>
                <w:iCs/>
                <w:color w:val="365F91"/>
                <w:sz w:val="20"/>
                <w:szCs w:val="20"/>
                <w:shd w:val="clear" w:color="auto" w:fill="FFFFFF"/>
              </w:rPr>
            </w:pPr>
            <w:r w:rsidRPr="000D7E34">
              <w:rPr>
                <w:rFonts w:ascii="Arial" w:hAnsi="Arial" w:cs="Arial"/>
                <w:iCs/>
                <w:color w:val="365F91"/>
                <w:sz w:val="20"/>
                <w:szCs w:val="20"/>
                <w:shd w:val="clear" w:color="auto" w:fill="FFFFFF"/>
              </w:rPr>
              <w:t>Segundo o texto, a mãe ou o pai de família monoparental terá direito a teletrabalho, trabalho remoto ou trabalho a distância, até a reabertura da creche ou da escola dos filhos com até 12 anos incompletos. O PL seria uma solução para a garantir segurança e assistência às crianças que estão com as creches e escolas fechadas.</w:t>
            </w:r>
          </w:p>
        </w:tc>
      </w:tr>
      <w:tr w:rsidR="002A5EBD" w:rsidTr="007E434F">
        <w:tc>
          <w:tcPr>
            <w:tcW w:w="14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lastRenderedPageBreak/>
              <w:t>CONJUR</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7" w:history="1">
              <w:r w:rsidRPr="00A40497">
                <w:rPr>
                  <w:rStyle w:val="Hyperlink"/>
                  <w:rFonts w:ascii="Arial" w:hAnsi="Arial" w:cs="Arial"/>
                  <w:iCs/>
                  <w:sz w:val="20"/>
                  <w:szCs w:val="20"/>
                  <w:shd w:val="clear" w:color="auto" w:fill="FFFFFF"/>
                </w:rPr>
                <w:t>Aprovada na Câmara em 1º turno PEC que adia eleições municipais</w:t>
              </w:r>
            </w:hyperlink>
            <w:r>
              <w:rPr>
                <w:rFonts w:ascii="Arial" w:hAnsi="Arial" w:cs="Arial"/>
                <w:iCs/>
                <w:color w:val="365F91"/>
                <w:sz w:val="20"/>
                <w:szCs w:val="20"/>
                <w:shd w:val="clear" w:color="auto" w:fill="FFFFFF"/>
              </w:rPr>
              <w:t>, disponibilizada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A40497" w:rsidRDefault="002A5EBD" w:rsidP="007E434F">
            <w:pPr>
              <w:rPr>
                <w:rFonts w:ascii="Arial" w:hAnsi="Arial" w:cs="Arial"/>
                <w:iCs/>
                <w:color w:val="365F91"/>
                <w:sz w:val="20"/>
                <w:szCs w:val="20"/>
                <w:shd w:val="clear" w:color="auto" w:fill="FFFFFF"/>
              </w:rPr>
            </w:pPr>
            <w:r w:rsidRPr="00A40497">
              <w:rPr>
                <w:rFonts w:ascii="Arial" w:hAnsi="Arial" w:cs="Arial"/>
                <w:iCs/>
                <w:color w:val="365F91"/>
                <w:sz w:val="20"/>
                <w:szCs w:val="20"/>
                <w:shd w:val="clear" w:color="auto" w:fill="FFFFFF"/>
              </w:rPr>
              <w:t xml:space="preserve">O Plenário da Câmara dos Deputados aprovou no início da noite desta </w:t>
            </w:r>
            <w:r w:rsidR="00C455F8" w:rsidRPr="00A40497">
              <w:rPr>
                <w:rFonts w:ascii="Arial" w:hAnsi="Arial" w:cs="Arial"/>
                <w:iCs/>
                <w:color w:val="365F91"/>
                <w:sz w:val="20"/>
                <w:szCs w:val="20"/>
                <w:shd w:val="clear" w:color="auto" w:fill="FFFFFF"/>
              </w:rPr>
              <w:t>quarta-feira</w:t>
            </w:r>
            <w:r w:rsidRPr="00A40497">
              <w:rPr>
                <w:rFonts w:ascii="Arial" w:hAnsi="Arial" w:cs="Arial"/>
                <w:iCs/>
                <w:color w:val="365F91"/>
                <w:sz w:val="20"/>
                <w:szCs w:val="20"/>
                <w:shd w:val="clear" w:color="auto" w:fill="FFFFFF"/>
              </w:rPr>
              <w:t xml:space="preserve"> (1º/7), em primeiro turno, o texto-base da Proposta de Emenda à Constituição (PEC) 18/20, que adia as eleições municipais deste ano em razão da epidemia de Covid-19. O placar foi de 402 votos a favor e 90 contrários. Falta a votação de destaques que podem alterar pontos do texto.</w:t>
            </w:r>
          </w:p>
          <w:p w:rsidR="002A5EBD" w:rsidRPr="005F5231" w:rsidRDefault="002A5EBD" w:rsidP="007E434F">
            <w:pPr>
              <w:rPr>
                <w:rFonts w:ascii="Arial" w:hAnsi="Arial" w:cs="Arial"/>
                <w:iCs/>
                <w:color w:val="365F91"/>
                <w:sz w:val="20"/>
                <w:szCs w:val="20"/>
                <w:shd w:val="clear" w:color="auto" w:fill="FFFFFF"/>
              </w:rPr>
            </w:pPr>
            <w:r w:rsidRPr="00A40497">
              <w:rPr>
                <w:rFonts w:ascii="Arial" w:hAnsi="Arial" w:cs="Arial"/>
                <w:iCs/>
                <w:color w:val="365F91"/>
                <w:sz w:val="20"/>
                <w:szCs w:val="20"/>
                <w:shd w:val="clear" w:color="auto" w:fill="FFFFFF"/>
              </w:rPr>
              <w:t>Conforme a PEC, os dois turnos eleitorais, inicialmente previstos para os dias 4 e 25 de outubro, serão realizados nos dias 15 e 29 de novembro. O Tribunal Superior Eleitoral (TSE) analisa medidas para assegurar o pleito com garantias à saúde.</w:t>
            </w:r>
          </w:p>
        </w:tc>
      </w:tr>
      <w:tr w:rsidR="002A5EBD" w:rsidTr="002A5EBD">
        <w:tc>
          <w:tcPr>
            <w:tcW w:w="1419" w:type="dxa"/>
            <w:vMerge/>
            <w:tcBorders>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8" w:history="1">
              <w:r w:rsidRPr="00A40497">
                <w:rPr>
                  <w:rStyle w:val="Hyperlink"/>
                  <w:rFonts w:ascii="Arial" w:hAnsi="Arial" w:cs="Arial"/>
                  <w:iCs/>
                  <w:sz w:val="20"/>
                  <w:szCs w:val="20"/>
                  <w:shd w:val="clear" w:color="auto" w:fill="FFFFFF"/>
                </w:rPr>
                <w:t>TST homologa acordo da Gol com pessoal de bordo pelos próximos 18 meses</w:t>
              </w:r>
            </w:hyperlink>
            <w:r>
              <w:rPr>
                <w:rFonts w:ascii="Arial" w:hAnsi="Arial" w:cs="Arial"/>
                <w:iCs/>
                <w:color w:val="365F91"/>
                <w:sz w:val="20"/>
                <w:szCs w:val="20"/>
                <w:shd w:val="clear" w:color="auto" w:fill="FFFFFF"/>
              </w:rPr>
              <w:t>, disponibilizada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5F5231" w:rsidRDefault="002A5EBD" w:rsidP="007E434F">
            <w:pPr>
              <w:rPr>
                <w:rFonts w:ascii="Arial" w:hAnsi="Arial" w:cs="Arial"/>
                <w:iCs/>
                <w:color w:val="365F91"/>
                <w:sz w:val="20"/>
                <w:szCs w:val="20"/>
                <w:shd w:val="clear" w:color="auto" w:fill="FFFFFF"/>
              </w:rPr>
            </w:pPr>
            <w:r w:rsidRPr="00A40497">
              <w:rPr>
                <w:rFonts w:ascii="Arial" w:hAnsi="Arial" w:cs="Arial"/>
                <w:iCs/>
                <w:color w:val="365F91"/>
                <w:sz w:val="20"/>
                <w:szCs w:val="20"/>
                <w:shd w:val="clear" w:color="auto" w:fill="FFFFFF"/>
              </w:rPr>
              <w:t xml:space="preserve">O Tribunal Superior do Trabalho referendou, por unanimidade, na última segunda-feira (29/6), o acordo coletivo de trabalho firmado entre a Gol e o Sindicato Nacional dos Aeronautas (SNA) para a garantia de emprego de comandantes, copilotos e comissários da empresa pelos próximos 18 meses.  </w:t>
            </w:r>
          </w:p>
        </w:tc>
      </w:tr>
      <w:tr w:rsidR="002A5EBD" w:rsidTr="007E434F">
        <w:tc>
          <w:tcPr>
            <w:tcW w:w="1419" w:type="dxa"/>
            <w:vMerge w:val="restart"/>
            <w:tcBorders>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r>
              <w:rPr>
                <w:rFonts w:ascii="Arial" w:hAnsi="Arial" w:cs="Arial"/>
                <w:iCs/>
                <w:color w:val="365F91"/>
                <w:sz w:val="20"/>
                <w:szCs w:val="20"/>
                <w:shd w:val="clear" w:color="auto" w:fill="FFFFFF"/>
              </w:rPr>
              <w:t>Migalhas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29" w:history="1">
              <w:r w:rsidRPr="00A40497">
                <w:rPr>
                  <w:rStyle w:val="Hyperlink"/>
                  <w:rFonts w:ascii="Arial" w:hAnsi="Arial" w:cs="Arial"/>
                  <w:iCs/>
                  <w:sz w:val="20"/>
                  <w:szCs w:val="20"/>
                  <w:shd w:val="clear" w:color="auto" w:fill="FFFFFF"/>
                </w:rPr>
                <w:t>Covid-19: Juíza da PB suspende flexibilização municipal por prevalência de decreto estadual</w:t>
              </w:r>
            </w:hyperlink>
            <w:r>
              <w:rPr>
                <w:rFonts w:ascii="Arial" w:hAnsi="Arial" w:cs="Arial"/>
                <w:iCs/>
                <w:color w:val="365F91"/>
                <w:sz w:val="20"/>
                <w:szCs w:val="20"/>
                <w:shd w:val="clear" w:color="auto" w:fill="FFFFFF"/>
              </w:rPr>
              <w:t>, disponibilizada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A40497" w:rsidRDefault="002A5EBD" w:rsidP="007E434F">
            <w:pPr>
              <w:rPr>
                <w:rFonts w:ascii="Arial" w:hAnsi="Arial" w:cs="Arial"/>
                <w:iCs/>
                <w:color w:val="365F91"/>
                <w:sz w:val="20"/>
                <w:szCs w:val="20"/>
                <w:shd w:val="clear" w:color="auto" w:fill="FFFFFF"/>
              </w:rPr>
            </w:pPr>
            <w:r w:rsidRPr="00A40497">
              <w:rPr>
                <w:rFonts w:ascii="Arial" w:hAnsi="Arial" w:cs="Arial"/>
                <w:iCs/>
                <w:color w:val="365F91"/>
                <w:sz w:val="20"/>
                <w:szCs w:val="20"/>
                <w:shd w:val="clear" w:color="auto" w:fill="FFFFFF"/>
              </w:rPr>
              <w:t>A juíza de Direito Teresa Cristina de Lyra Pereira Veloso, da 4ª vara Mista de Cabedelo/PB, suspendeu em liminar decreto municipal que dispunha sobre plano de monitoramento, flexibilização e abertura de atividades econômicas.</w:t>
            </w:r>
          </w:p>
          <w:p w:rsidR="002A5EBD" w:rsidRPr="005F5231" w:rsidRDefault="002A5EBD" w:rsidP="007E434F">
            <w:pPr>
              <w:rPr>
                <w:rFonts w:ascii="Arial" w:hAnsi="Arial" w:cs="Arial"/>
                <w:iCs/>
                <w:color w:val="365F91"/>
                <w:sz w:val="20"/>
                <w:szCs w:val="20"/>
                <w:shd w:val="clear" w:color="auto" w:fill="FFFFFF"/>
              </w:rPr>
            </w:pPr>
            <w:r w:rsidRPr="00A40497">
              <w:rPr>
                <w:rFonts w:ascii="Arial" w:hAnsi="Arial" w:cs="Arial"/>
                <w:iCs/>
                <w:color w:val="365F91"/>
                <w:sz w:val="20"/>
                <w:szCs w:val="20"/>
                <w:shd w:val="clear" w:color="auto" w:fill="FFFFFF"/>
              </w:rPr>
              <w:t>Para a magistrada, há preponderância de norma estadual que implementou bandeiras categorizando os municípios, para flexibilização gradual do isolamento social.</w:t>
            </w:r>
          </w:p>
        </w:tc>
      </w:tr>
      <w:tr w:rsidR="002A5EBD" w:rsidTr="007E434F">
        <w:tc>
          <w:tcPr>
            <w:tcW w:w="1419" w:type="dxa"/>
            <w:vMerge/>
            <w:tcBorders>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30" w:history="1">
              <w:r w:rsidRPr="00A40497">
                <w:rPr>
                  <w:rStyle w:val="Hyperlink"/>
                  <w:rFonts w:ascii="Arial" w:hAnsi="Arial" w:cs="Arial"/>
                  <w:iCs/>
                  <w:sz w:val="20"/>
                  <w:szCs w:val="20"/>
                  <w:shd w:val="clear" w:color="auto" w:fill="FFFFFF"/>
                </w:rPr>
                <w:t>"Toque de recolher" previsto em decreto de Dionísio Cerqueira/SC é suspenso</w:t>
              </w:r>
            </w:hyperlink>
            <w:r>
              <w:rPr>
                <w:rFonts w:ascii="Arial" w:hAnsi="Arial" w:cs="Arial"/>
                <w:iCs/>
                <w:color w:val="365F91"/>
                <w:sz w:val="20"/>
                <w:szCs w:val="20"/>
                <w:shd w:val="clear" w:color="auto" w:fill="FFFFFF"/>
              </w:rPr>
              <w:t>, disponibilizada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FE1BED" w:rsidRDefault="002A5EBD" w:rsidP="007E434F">
            <w:pPr>
              <w:rPr>
                <w:rFonts w:ascii="Arial" w:hAnsi="Arial" w:cs="Arial"/>
                <w:iCs/>
                <w:color w:val="365F91"/>
                <w:sz w:val="20"/>
                <w:szCs w:val="20"/>
                <w:shd w:val="clear" w:color="auto" w:fill="FFFFFF"/>
              </w:rPr>
            </w:pPr>
            <w:r w:rsidRPr="00FE1BED">
              <w:rPr>
                <w:rFonts w:ascii="Arial" w:hAnsi="Arial" w:cs="Arial"/>
                <w:iCs/>
                <w:color w:val="365F91"/>
                <w:sz w:val="20"/>
                <w:szCs w:val="20"/>
                <w:shd w:val="clear" w:color="auto" w:fill="FFFFFF"/>
              </w:rPr>
              <w:t>A Justiça de SC suspendeu efeitos de decreto municipal que previa toque de recolher em Dionísio Cerqueira em razão da pandemia do coronavírus.</w:t>
            </w:r>
          </w:p>
          <w:p w:rsidR="002A5EBD" w:rsidRPr="005F5231" w:rsidRDefault="002A5EBD" w:rsidP="007E434F">
            <w:pPr>
              <w:rPr>
                <w:rFonts w:ascii="Arial" w:hAnsi="Arial" w:cs="Arial"/>
                <w:iCs/>
                <w:color w:val="365F91"/>
                <w:sz w:val="20"/>
                <w:szCs w:val="20"/>
                <w:shd w:val="clear" w:color="auto" w:fill="FFFFFF"/>
              </w:rPr>
            </w:pPr>
            <w:r w:rsidRPr="00FE1BED">
              <w:rPr>
                <w:rFonts w:ascii="Arial" w:hAnsi="Arial" w:cs="Arial"/>
                <w:iCs/>
                <w:color w:val="365F91"/>
                <w:sz w:val="20"/>
                <w:szCs w:val="20"/>
                <w:shd w:val="clear" w:color="auto" w:fill="FFFFFF"/>
              </w:rPr>
              <w:t>O decreto 6.070/20 proibiu a circulação e permanência de pessoas nas vias públicas, praças, pátios e calçadas em frente a bares, restaurantes e similares do município de Dionísio Cerqueira das 21h horas até às 5h do dia seguinte, a partir do dia 27 de junho de 2020 até 11 de julho de 2020.</w:t>
            </w:r>
          </w:p>
        </w:tc>
      </w:tr>
      <w:tr w:rsidR="002A5EBD" w:rsidTr="007E434F">
        <w:tc>
          <w:tcPr>
            <w:tcW w:w="1419" w:type="dxa"/>
            <w:vMerge/>
            <w:tcBorders>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31" w:history="1">
              <w:r w:rsidRPr="00FE1BED">
                <w:rPr>
                  <w:rStyle w:val="Hyperlink"/>
                  <w:rFonts w:ascii="Arial" w:hAnsi="Arial" w:cs="Arial"/>
                  <w:iCs/>
                  <w:sz w:val="20"/>
                  <w:szCs w:val="20"/>
                  <w:shd w:val="clear" w:color="auto" w:fill="FFFFFF"/>
                </w:rPr>
                <w:t>AASP elabora guia para reabertura de escritórios de advocacia</w:t>
              </w:r>
            </w:hyperlink>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FE1BED" w:rsidRDefault="002A5EBD" w:rsidP="007E434F">
            <w:pPr>
              <w:rPr>
                <w:rFonts w:ascii="Arial" w:hAnsi="Arial" w:cs="Arial"/>
                <w:iCs/>
                <w:color w:val="365F91"/>
                <w:sz w:val="20"/>
                <w:szCs w:val="20"/>
                <w:shd w:val="clear" w:color="auto" w:fill="FFFFFF"/>
              </w:rPr>
            </w:pPr>
            <w:r w:rsidRPr="00FE1BED">
              <w:rPr>
                <w:rFonts w:ascii="Arial" w:hAnsi="Arial" w:cs="Arial"/>
                <w:iCs/>
                <w:color w:val="365F91"/>
                <w:sz w:val="20"/>
                <w:szCs w:val="20"/>
                <w:shd w:val="clear" w:color="auto" w:fill="FFFFFF"/>
              </w:rPr>
              <w:t>Com o possível retorno presencial aos trabalhos, futuramente os advogados terão novos desafios nos atendimentos presenciais em questões sanitárias. Pensando nisso, a AASP - Associação dos Advogados de São Paulo elaborou uma cartilha digital com registro das principais providências e procedimentos a serem seguidos.</w:t>
            </w:r>
          </w:p>
          <w:p w:rsidR="002A5EBD" w:rsidRDefault="002A5EBD" w:rsidP="007E434F">
            <w:pPr>
              <w:rPr>
                <w:rFonts w:ascii="Arial" w:hAnsi="Arial" w:cs="Arial"/>
                <w:iCs/>
                <w:color w:val="365F91"/>
                <w:sz w:val="20"/>
                <w:szCs w:val="20"/>
                <w:shd w:val="clear" w:color="auto" w:fill="FFFFFF"/>
              </w:rPr>
            </w:pPr>
            <w:r w:rsidRPr="00FE1BED">
              <w:rPr>
                <w:rFonts w:ascii="Arial" w:hAnsi="Arial" w:cs="Arial"/>
                <w:iCs/>
                <w:color w:val="365F91"/>
                <w:sz w:val="20"/>
                <w:szCs w:val="20"/>
                <w:shd w:val="clear" w:color="auto" w:fill="FFFFFF"/>
              </w:rPr>
              <w:t>No documento é possível observar recomendações de protocolos sanitários de distanciamento social; higiene e sanitização; comunicação com clientes e colaborações; esforço de testagem e horários alternativos para a retomada do trabalho.</w:t>
            </w:r>
          </w:p>
          <w:p w:rsidR="00C455F8" w:rsidRPr="005F5231" w:rsidRDefault="00C455F8" w:rsidP="007E434F">
            <w:pPr>
              <w:rPr>
                <w:rFonts w:ascii="Arial" w:hAnsi="Arial" w:cs="Arial"/>
                <w:iCs/>
                <w:color w:val="365F91"/>
                <w:sz w:val="20"/>
                <w:szCs w:val="20"/>
                <w:shd w:val="clear" w:color="auto" w:fill="FFFFFF"/>
              </w:rPr>
            </w:pPr>
            <w:bookmarkStart w:id="0" w:name="_GoBack"/>
            <w:bookmarkEnd w:id="0"/>
          </w:p>
        </w:tc>
      </w:tr>
      <w:tr w:rsidR="002A5EBD" w:rsidTr="007E434F">
        <w:tc>
          <w:tcPr>
            <w:tcW w:w="1419" w:type="dxa"/>
            <w:vMerge/>
            <w:tcBorders>
              <w:left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32" w:history="1">
              <w:r w:rsidRPr="00FE1BED">
                <w:rPr>
                  <w:rStyle w:val="Hyperlink"/>
                  <w:rFonts w:ascii="Arial" w:hAnsi="Arial" w:cs="Arial"/>
                  <w:iCs/>
                  <w:sz w:val="20"/>
                  <w:szCs w:val="20"/>
                  <w:shd w:val="clear" w:color="auto" w:fill="FFFFFF"/>
                </w:rPr>
                <w:t>Covid-19: Justiça do RJ proíbe moradores de usarem áreas comuns de condomínio</w:t>
              </w:r>
            </w:hyperlink>
            <w:r>
              <w:rPr>
                <w:rFonts w:ascii="Arial" w:hAnsi="Arial" w:cs="Arial"/>
                <w:iCs/>
                <w:color w:val="365F91"/>
                <w:sz w:val="20"/>
                <w:szCs w:val="20"/>
                <w:shd w:val="clear" w:color="auto" w:fill="FFFFFF"/>
              </w:rPr>
              <w:t>, disponibilizada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FE1BED" w:rsidRDefault="002A5EBD" w:rsidP="007E434F">
            <w:pPr>
              <w:rPr>
                <w:rFonts w:ascii="Arial" w:hAnsi="Arial" w:cs="Arial"/>
                <w:iCs/>
                <w:color w:val="365F91"/>
                <w:sz w:val="20"/>
                <w:szCs w:val="20"/>
                <w:shd w:val="clear" w:color="auto" w:fill="FFFFFF"/>
              </w:rPr>
            </w:pPr>
            <w:r w:rsidRPr="00FE1BED">
              <w:rPr>
                <w:rFonts w:ascii="Arial" w:hAnsi="Arial" w:cs="Arial"/>
                <w:iCs/>
                <w:color w:val="365F91"/>
                <w:sz w:val="20"/>
                <w:szCs w:val="20"/>
                <w:shd w:val="clear" w:color="auto" w:fill="FFFFFF"/>
              </w:rPr>
              <w:t>A juíza de Direito Renata Casanova, em exercício na 50ª vara Cível do RJ, deferiu tutela de urgência proibindo que moradores de oito apartamentos de um edifício na zona sul da cidade continuassem entrando em áreas comuns do condomínio interditadas pela síndica para evitar o contágio pelo coronavírus.</w:t>
            </w:r>
          </w:p>
          <w:p w:rsidR="002A5EBD" w:rsidRPr="005F5231" w:rsidRDefault="002A5EBD" w:rsidP="007E434F">
            <w:pPr>
              <w:rPr>
                <w:rFonts w:ascii="Arial" w:hAnsi="Arial" w:cs="Arial"/>
                <w:iCs/>
                <w:color w:val="365F91"/>
                <w:sz w:val="20"/>
                <w:szCs w:val="20"/>
                <w:shd w:val="clear" w:color="auto" w:fill="FFFFFF"/>
              </w:rPr>
            </w:pPr>
            <w:r w:rsidRPr="00FE1BED">
              <w:rPr>
                <w:rFonts w:ascii="Arial" w:hAnsi="Arial" w:cs="Arial"/>
                <w:iCs/>
                <w:color w:val="365F91"/>
                <w:sz w:val="20"/>
                <w:szCs w:val="20"/>
                <w:shd w:val="clear" w:color="auto" w:fill="FFFFFF"/>
              </w:rPr>
              <w:t>De acordo com o condomínio, mesmo após a suspensão do acesso dos condôminos às áreas sociais e de lazer pela síndica, alguns moradores começaram a se reunir com frequência na garagem, com a presença das crianças, romperam a interdição do playground e passaram a assediar os funcionários do prédio. Além disso, “colaram outros informativos por cima dos avisos do condomínio, assinados como "administração", e outros papeis foram colados por toda a garagem, entrada do hall, portas dos elevadores e portas de passagem, o que foi objeto de reclamação de outros condôminos”.</w:t>
            </w:r>
          </w:p>
        </w:tc>
      </w:tr>
      <w:tr w:rsidR="002A5EBD" w:rsidTr="007E434F">
        <w:tc>
          <w:tcPr>
            <w:tcW w:w="14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A5EBD" w:rsidRDefault="002A5EBD" w:rsidP="007E434F">
            <w:pPr>
              <w:spacing w:line="252" w:lineRule="auto"/>
              <w:jc w:val="center"/>
              <w:rPr>
                <w:rFonts w:ascii="Arial" w:hAnsi="Arial" w:cs="Arial"/>
                <w:iCs/>
                <w:color w:val="365F91"/>
                <w:sz w:val="20"/>
                <w:szCs w:val="20"/>
                <w:shd w:val="clear" w:color="auto" w:fill="FFFFFF"/>
              </w:rPr>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Default="002A5EBD" w:rsidP="007E434F">
            <w:pPr>
              <w:spacing w:line="252" w:lineRule="auto"/>
              <w:rPr>
                <w:rFonts w:ascii="Arial" w:hAnsi="Arial" w:cs="Arial"/>
                <w:iCs/>
                <w:color w:val="365F91"/>
                <w:sz w:val="20"/>
                <w:szCs w:val="20"/>
                <w:shd w:val="clear" w:color="auto" w:fill="FFFFFF"/>
              </w:rPr>
            </w:pPr>
            <w:hyperlink r:id="rId33" w:history="1">
              <w:r w:rsidRPr="00FE1BED">
                <w:rPr>
                  <w:rStyle w:val="Hyperlink"/>
                  <w:rFonts w:ascii="Arial" w:hAnsi="Arial" w:cs="Arial"/>
                  <w:iCs/>
                  <w:sz w:val="20"/>
                  <w:szCs w:val="20"/>
                  <w:shd w:val="clear" w:color="auto" w:fill="FFFFFF"/>
                </w:rPr>
                <w:t>Tribunais iniciam retomada das atividades presenciais</w:t>
              </w:r>
            </w:hyperlink>
            <w:r>
              <w:rPr>
                <w:rFonts w:ascii="Arial" w:hAnsi="Arial" w:cs="Arial"/>
                <w:iCs/>
                <w:color w:val="365F91"/>
                <w:sz w:val="20"/>
                <w:szCs w:val="20"/>
                <w:shd w:val="clear" w:color="auto" w:fill="FFFFFF"/>
              </w:rPr>
              <w:t>, disponibilizada em 01.07.2020</w:t>
            </w:r>
          </w:p>
        </w:tc>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5EBD" w:rsidRPr="00FE1BED" w:rsidRDefault="002A5EBD" w:rsidP="007E434F">
            <w:pPr>
              <w:rPr>
                <w:rFonts w:ascii="Arial" w:hAnsi="Arial" w:cs="Arial"/>
                <w:iCs/>
                <w:color w:val="365F91"/>
                <w:sz w:val="20"/>
                <w:szCs w:val="20"/>
                <w:shd w:val="clear" w:color="auto" w:fill="FFFFFF"/>
              </w:rPr>
            </w:pPr>
            <w:r w:rsidRPr="00FE1BED">
              <w:rPr>
                <w:rFonts w:ascii="Arial" w:hAnsi="Arial" w:cs="Arial"/>
                <w:iCs/>
                <w:color w:val="365F91"/>
                <w:sz w:val="20"/>
                <w:szCs w:val="20"/>
                <w:shd w:val="clear" w:color="auto" w:fill="FFFFFF"/>
              </w:rPr>
              <w:t xml:space="preserve">Após publicação da resolução 322/20 do CNJ, que autorizou a retomada das atividades presenciais dos tribunais, diversas Cortes já definiram a data de retorno ou instituíram grupo de trabalho para alinhar como e quando será o início. </w:t>
            </w:r>
          </w:p>
          <w:p w:rsidR="002A5EBD" w:rsidRPr="005F5231" w:rsidRDefault="002A5EBD" w:rsidP="007E434F">
            <w:pPr>
              <w:rPr>
                <w:rFonts w:ascii="Arial" w:hAnsi="Arial" w:cs="Arial"/>
                <w:iCs/>
                <w:color w:val="365F91"/>
                <w:sz w:val="20"/>
                <w:szCs w:val="20"/>
                <w:shd w:val="clear" w:color="auto" w:fill="FFFFFF"/>
              </w:rPr>
            </w:pPr>
            <w:r w:rsidRPr="00FE1BED">
              <w:rPr>
                <w:rFonts w:ascii="Arial" w:hAnsi="Arial" w:cs="Arial"/>
                <w:iCs/>
                <w:color w:val="365F91"/>
                <w:sz w:val="20"/>
                <w:szCs w:val="20"/>
                <w:shd w:val="clear" w:color="auto" w:fill="FFFFFF"/>
              </w:rPr>
              <w:t xml:space="preserve">Pioneiros na retomada, o TJ/RJ reiniciou as atividades presencialmente de forma </w:t>
            </w:r>
            <w:r w:rsidR="00C455F8" w:rsidRPr="00FE1BED">
              <w:rPr>
                <w:rFonts w:ascii="Arial" w:hAnsi="Arial" w:cs="Arial"/>
                <w:iCs/>
                <w:color w:val="365F91"/>
                <w:sz w:val="20"/>
                <w:szCs w:val="20"/>
                <w:shd w:val="clear" w:color="auto" w:fill="FFFFFF"/>
              </w:rPr>
              <w:t>gradativa</w:t>
            </w:r>
            <w:r w:rsidRPr="00FE1BED">
              <w:rPr>
                <w:rFonts w:ascii="Arial" w:hAnsi="Arial" w:cs="Arial"/>
                <w:iCs/>
                <w:color w:val="365F91"/>
                <w:sz w:val="20"/>
                <w:szCs w:val="20"/>
                <w:shd w:val="clear" w:color="auto" w:fill="FFFFFF"/>
              </w:rPr>
              <w:t xml:space="preserve"> nesta segunda-feira, 29. TJ/PA e TJ/MA retornam nesta quarta-feira, 1º.</w:t>
            </w:r>
          </w:p>
        </w:tc>
      </w:tr>
    </w:tbl>
    <w:p w:rsidR="00747AD2" w:rsidRDefault="00747AD2" w:rsidP="00747AD2">
      <w:pPr>
        <w:rPr>
          <w:rFonts w:ascii="Arial" w:hAnsi="Arial" w:cs="Arial"/>
          <w:sz w:val="16"/>
          <w:szCs w:val="16"/>
          <w:u w:val="single"/>
        </w:rPr>
      </w:pPr>
    </w:p>
    <w:p w:rsidR="00A52A72" w:rsidRPr="003F25B5" w:rsidRDefault="00A52A72" w:rsidP="00A52A72">
      <w:pPr>
        <w:spacing w:line="360" w:lineRule="auto"/>
        <w:jc w:val="both"/>
        <w:rPr>
          <w:rFonts w:ascii="Arial" w:hAnsi="Arial" w:cs="Arial"/>
          <w:sz w:val="16"/>
          <w:szCs w:val="16"/>
        </w:rPr>
      </w:pPr>
      <w:r w:rsidRPr="003F25B5">
        <w:rPr>
          <w:rFonts w:ascii="Arial" w:hAnsi="Arial" w:cs="Arial"/>
          <w:sz w:val="16"/>
          <w:szCs w:val="16"/>
          <w:u w:val="single"/>
        </w:rPr>
        <w:t>Aviso legal</w:t>
      </w:r>
      <w:r w:rsidRPr="003F25B5">
        <w:rPr>
          <w:rFonts w:ascii="Arial" w:hAnsi="Arial" w:cs="Arial"/>
          <w:sz w:val="16"/>
          <w:szCs w:val="16"/>
        </w:rPr>
        <w:t xml:space="preserve"> - Este trabalho não reflete a nossa opinião. Foi desenvolvido para fins de informação e compartilhamento com a equipe interna.</w:t>
      </w:r>
    </w:p>
    <w:p w:rsidR="00A52A72" w:rsidRDefault="00A52A72" w:rsidP="00A52A72">
      <w:pPr>
        <w:spacing w:line="360" w:lineRule="auto"/>
        <w:jc w:val="both"/>
        <w:rPr>
          <w:rFonts w:ascii="Arial" w:hAnsi="Arial" w:cs="Arial"/>
          <w:sz w:val="16"/>
          <w:szCs w:val="16"/>
        </w:rPr>
      </w:pPr>
      <w:r w:rsidRPr="003F25B5">
        <w:rPr>
          <w:rFonts w:ascii="Arial" w:hAnsi="Arial" w:cs="Arial"/>
          <w:sz w:val="16"/>
          <w:szCs w:val="16"/>
        </w:rPr>
        <w:t>Está sendo disponibilizado ao público em geral, igualmente com propósito informativo, inexistindo qualquer responsabilidade sobre o conteúdo - coletado na rede mundial de computadores -, assim como ao uso que será dado ao mesmo.</w:t>
      </w:r>
    </w:p>
    <w:p w:rsidR="00A52A72" w:rsidRPr="00C7157A" w:rsidRDefault="00A52A72" w:rsidP="00A52A72">
      <w:pPr>
        <w:spacing w:after="0" w:line="360" w:lineRule="auto"/>
        <w:rPr>
          <w:rFonts w:ascii="Arial" w:hAnsi="Arial" w:cs="Arial"/>
          <w:sz w:val="20"/>
          <w:szCs w:val="20"/>
        </w:rPr>
      </w:pPr>
      <w:r w:rsidRPr="00C7157A">
        <w:rPr>
          <w:rFonts w:ascii="Arial" w:hAnsi="Arial" w:cs="Arial"/>
          <w:sz w:val="20"/>
          <w:szCs w:val="20"/>
        </w:rPr>
        <w:t>Cristiano de Loureiro Faria Mori</w:t>
      </w:r>
    </w:p>
    <w:p w:rsidR="00A52A72" w:rsidRPr="00C7157A" w:rsidRDefault="00A52A72" w:rsidP="00A52A72">
      <w:pPr>
        <w:spacing w:after="0" w:line="360" w:lineRule="auto"/>
        <w:rPr>
          <w:rFonts w:ascii="Arial" w:hAnsi="Arial" w:cs="Arial"/>
          <w:sz w:val="20"/>
          <w:szCs w:val="20"/>
        </w:rPr>
      </w:pPr>
      <w:r w:rsidRPr="00C7157A">
        <w:rPr>
          <w:rFonts w:ascii="Arial" w:hAnsi="Arial" w:cs="Arial"/>
          <w:sz w:val="20"/>
          <w:szCs w:val="20"/>
        </w:rPr>
        <w:t>Danielle Dutra Soares</w:t>
      </w:r>
    </w:p>
    <w:p w:rsidR="00A52A72" w:rsidRPr="00C7157A" w:rsidRDefault="00A52A72" w:rsidP="00A52A72">
      <w:pPr>
        <w:spacing w:after="0" w:line="360" w:lineRule="auto"/>
        <w:rPr>
          <w:rFonts w:ascii="Arial" w:hAnsi="Arial" w:cs="Arial"/>
          <w:sz w:val="20"/>
          <w:szCs w:val="20"/>
        </w:rPr>
      </w:pPr>
      <w:r w:rsidRPr="00C7157A">
        <w:rPr>
          <w:rFonts w:ascii="Arial" w:hAnsi="Arial" w:cs="Arial"/>
          <w:sz w:val="20"/>
          <w:szCs w:val="20"/>
        </w:rPr>
        <w:t>Luciana de Abreu Miranda</w:t>
      </w:r>
    </w:p>
    <w:p w:rsidR="00A52A72" w:rsidRPr="00C7157A" w:rsidRDefault="00A52A72" w:rsidP="00A52A72">
      <w:pPr>
        <w:spacing w:after="0" w:line="360" w:lineRule="auto"/>
        <w:rPr>
          <w:rFonts w:ascii="Arial" w:hAnsi="Arial" w:cs="Arial"/>
          <w:sz w:val="20"/>
          <w:szCs w:val="20"/>
        </w:rPr>
      </w:pPr>
      <w:r w:rsidRPr="00C7157A">
        <w:rPr>
          <w:rFonts w:ascii="Arial" w:hAnsi="Arial" w:cs="Arial"/>
          <w:sz w:val="20"/>
          <w:szCs w:val="20"/>
        </w:rPr>
        <w:t>Advogados</w:t>
      </w:r>
    </w:p>
    <w:p w:rsidR="00A6716B" w:rsidRPr="0055782E" w:rsidRDefault="00A52A72" w:rsidP="00D66AAE">
      <w:pPr>
        <w:spacing w:after="0" w:line="360" w:lineRule="auto"/>
      </w:pPr>
      <w:r w:rsidRPr="00C7157A">
        <w:rPr>
          <w:rFonts w:ascii="Arial" w:hAnsi="Arial" w:cs="Arial"/>
          <w:b/>
          <w:sz w:val="20"/>
          <w:szCs w:val="20"/>
        </w:rPr>
        <w:t>Malka Y Negri Advogados</w:t>
      </w:r>
    </w:p>
    <w:sectPr w:rsidR="00A6716B" w:rsidRPr="0055782E" w:rsidSect="00747AD2">
      <w:headerReference w:type="even" r:id="rId34"/>
      <w:headerReference w:type="default" r:id="rId35"/>
      <w:footerReference w:type="even" r:id="rId36"/>
      <w:footerReference w:type="default" r:id="rId37"/>
      <w:headerReference w:type="first" r:id="rId38"/>
      <w:footerReference w:type="first" r:id="rId39"/>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8B" w:rsidRDefault="004D1D8B" w:rsidP="00476F0E">
      <w:pPr>
        <w:spacing w:after="0" w:line="240" w:lineRule="auto"/>
      </w:pPr>
      <w:r>
        <w:separator/>
      </w:r>
    </w:p>
  </w:endnote>
  <w:endnote w:type="continuationSeparator" w:id="0">
    <w:p w:rsidR="004D1D8B" w:rsidRDefault="004D1D8B" w:rsidP="0047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0E" w:rsidRDefault="00476F0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0E" w:rsidRDefault="00476F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0E" w:rsidRDefault="00476F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8B" w:rsidRDefault="004D1D8B" w:rsidP="00476F0E">
      <w:pPr>
        <w:spacing w:after="0" w:line="240" w:lineRule="auto"/>
      </w:pPr>
      <w:r>
        <w:separator/>
      </w:r>
    </w:p>
  </w:footnote>
  <w:footnote w:type="continuationSeparator" w:id="0">
    <w:p w:rsidR="004D1D8B" w:rsidRDefault="004D1D8B" w:rsidP="0047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0E" w:rsidRDefault="00A709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811016" o:spid="_x0000_s2050" type="#_x0000_t75" style="position:absolute;margin-left:0;margin-top:0;width:595.7pt;height:841.9pt;z-index:-251658752;mso-position-horizontal:center;mso-position-horizontal-relative:margin;mso-position-vertical:center;mso-position-vertical-relative:margin" o:allowincell="f">
          <v:imagedata r:id="rId1" o:title="informativo myn-MP 93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0E" w:rsidRDefault="00A709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811017" o:spid="_x0000_s2051" type="#_x0000_t75" style="position:absolute;margin-left:0;margin-top:0;width:595.7pt;height:841.9pt;z-index:-251657728;mso-position-horizontal:center;mso-position-horizontal-relative:margin;mso-position-vertical:center;mso-position-vertical-relative:margin" o:allowincell="f">
          <v:imagedata r:id="rId1" o:title="informativo myn-MP 93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0E" w:rsidRDefault="00A709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811015" o:spid="_x0000_s2049" type="#_x0000_t75" style="position:absolute;margin-left:0;margin-top:0;width:595.7pt;height:841.9pt;z-index:-251659776;mso-position-horizontal:center;mso-position-horizontal-relative:margin;mso-position-vertical:center;mso-position-vertical-relative:margin" o:allowincell="f">
          <v:imagedata r:id="rId1" o:title="informativo myn-MP 93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8D2"/>
    <w:multiLevelType w:val="multilevel"/>
    <w:tmpl w:val="3BF2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33FB7"/>
    <w:multiLevelType w:val="hybridMultilevel"/>
    <w:tmpl w:val="D27089B6"/>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8D33A9"/>
    <w:multiLevelType w:val="multilevel"/>
    <w:tmpl w:val="2278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250319"/>
    <w:multiLevelType w:val="multilevel"/>
    <w:tmpl w:val="19A6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F40DB"/>
    <w:multiLevelType w:val="multilevel"/>
    <w:tmpl w:val="87E2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220C3"/>
    <w:rsid w:val="000257D3"/>
    <w:rsid w:val="000265A5"/>
    <w:rsid w:val="000440A6"/>
    <w:rsid w:val="00066DB2"/>
    <w:rsid w:val="000747C6"/>
    <w:rsid w:val="000757BF"/>
    <w:rsid w:val="00083369"/>
    <w:rsid w:val="00094138"/>
    <w:rsid w:val="00096663"/>
    <w:rsid w:val="00096F77"/>
    <w:rsid w:val="000A7496"/>
    <w:rsid w:val="000C0717"/>
    <w:rsid w:val="000D5EB9"/>
    <w:rsid w:val="000E5BA3"/>
    <w:rsid w:val="001312D0"/>
    <w:rsid w:val="001403BD"/>
    <w:rsid w:val="00141D5A"/>
    <w:rsid w:val="00164A44"/>
    <w:rsid w:val="001708DF"/>
    <w:rsid w:val="001A185A"/>
    <w:rsid w:val="001A6F4D"/>
    <w:rsid w:val="001B360C"/>
    <w:rsid w:val="001B43A0"/>
    <w:rsid w:val="001B5A22"/>
    <w:rsid w:val="001E2310"/>
    <w:rsid w:val="001E318A"/>
    <w:rsid w:val="001E5877"/>
    <w:rsid w:val="001F5D85"/>
    <w:rsid w:val="001F63A6"/>
    <w:rsid w:val="00207D25"/>
    <w:rsid w:val="002126C6"/>
    <w:rsid w:val="00231CB6"/>
    <w:rsid w:val="00237A13"/>
    <w:rsid w:val="00237A81"/>
    <w:rsid w:val="002700F4"/>
    <w:rsid w:val="00290AAE"/>
    <w:rsid w:val="00292466"/>
    <w:rsid w:val="002A2FF6"/>
    <w:rsid w:val="002A5EBD"/>
    <w:rsid w:val="002B4533"/>
    <w:rsid w:val="002D46CD"/>
    <w:rsid w:val="002F6B8A"/>
    <w:rsid w:val="003121C5"/>
    <w:rsid w:val="00327BDA"/>
    <w:rsid w:val="00331D35"/>
    <w:rsid w:val="00352803"/>
    <w:rsid w:val="00372374"/>
    <w:rsid w:val="0037496D"/>
    <w:rsid w:val="00380828"/>
    <w:rsid w:val="003859F4"/>
    <w:rsid w:val="0038609F"/>
    <w:rsid w:val="00392E70"/>
    <w:rsid w:val="003B2B20"/>
    <w:rsid w:val="003E56F3"/>
    <w:rsid w:val="003E5968"/>
    <w:rsid w:val="003F44F4"/>
    <w:rsid w:val="00432BBB"/>
    <w:rsid w:val="0043507A"/>
    <w:rsid w:val="00437E8A"/>
    <w:rsid w:val="00454F05"/>
    <w:rsid w:val="0046194D"/>
    <w:rsid w:val="004619A6"/>
    <w:rsid w:val="004657B2"/>
    <w:rsid w:val="00476F0E"/>
    <w:rsid w:val="0048351C"/>
    <w:rsid w:val="004A16A4"/>
    <w:rsid w:val="004B7108"/>
    <w:rsid w:val="004C4679"/>
    <w:rsid w:val="004C6D51"/>
    <w:rsid w:val="004C6E36"/>
    <w:rsid w:val="004D1D8B"/>
    <w:rsid w:val="004E247C"/>
    <w:rsid w:val="00525796"/>
    <w:rsid w:val="00533C20"/>
    <w:rsid w:val="00542131"/>
    <w:rsid w:val="0055782E"/>
    <w:rsid w:val="00567C46"/>
    <w:rsid w:val="00586EA3"/>
    <w:rsid w:val="005958F5"/>
    <w:rsid w:val="005C288B"/>
    <w:rsid w:val="005E067B"/>
    <w:rsid w:val="00611CA6"/>
    <w:rsid w:val="00614DBD"/>
    <w:rsid w:val="00617D5A"/>
    <w:rsid w:val="00625536"/>
    <w:rsid w:val="00661380"/>
    <w:rsid w:val="006723BD"/>
    <w:rsid w:val="00674EFA"/>
    <w:rsid w:val="00697831"/>
    <w:rsid w:val="006E4F93"/>
    <w:rsid w:val="00731292"/>
    <w:rsid w:val="007334CA"/>
    <w:rsid w:val="00735876"/>
    <w:rsid w:val="00736151"/>
    <w:rsid w:val="00742FB3"/>
    <w:rsid w:val="00747A53"/>
    <w:rsid w:val="00747AD2"/>
    <w:rsid w:val="00756E46"/>
    <w:rsid w:val="007613CF"/>
    <w:rsid w:val="00764526"/>
    <w:rsid w:val="00782337"/>
    <w:rsid w:val="00793C8F"/>
    <w:rsid w:val="00795D71"/>
    <w:rsid w:val="007B5741"/>
    <w:rsid w:val="007C016B"/>
    <w:rsid w:val="007C57A0"/>
    <w:rsid w:val="007D7A7C"/>
    <w:rsid w:val="007E434F"/>
    <w:rsid w:val="007E5D04"/>
    <w:rsid w:val="007E60BB"/>
    <w:rsid w:val="007E7E00"/>
    <w:rsid w:val="007F3442"/>
    <w:rsid w:val="00802186"/>
    <w:rsid w:val="00836F70"/>
    <w:rsid w:val="008431C9"/>
    <w:rsid w:val="00843B53"/>
    <w:rsid w:val="00846025"/>
    <w:rsid w:val="00851810"/>
    <w:rsid w:val="00856B28"/>
    <w:rsid w:val="00856C33"/>
    <w:rsid w:val="00866C38"/>
    <w:rsid w:val="008822A5"/>
    <w:rsid w:val="008937BA"/>
    <w:rsid w:val="00894ADC"/>
    <w:rsid w:val="00896C18"/>
    <w:rsid w:val="00897E49"/>
    <w:rsid w:val="008A60FF"/>
    <w:rsid w:val="008C15C5"/>
    <w:rsid w:val="00907580"/>
    <w:rsid w:val="009309BC"/>
    <w:rsid w:val="00930E0F"/>
    <w:rsid w:val="00953122"/>
    <w:rsid w:val="009552AE"/>
    <w:rsid w:val="00992BAA"/>
    <w:rsid w:val="009B0C61"/>
    <w:rsid w:val="009C4B86"/>
    <w:rsid w:val="009D5EF3"/>
    <w:rsid w:val="00A065D3"/>
    <w:rsid w:val="00A302A8"/>
    <w:rsid w:val="00A404A3"/>
    <w:rsid w:val="00A43547"/>
    <w:rsid w:val="00A4677D"/>
    <w:rsid w:val="00A5299B"/>
    <w:rsid w:val="00A52A72"/>
    <w:rsid w:val="00A61EA6"/>
    <w:rsid w:val="00A6716B"/>
    <w:rsid w:val="00A67359"/>
    <w:rsid w:val="00A7094D"/>
    <w:rsid w:val="00A71E03"/>
    <w:rsid w:val="00A77630"/>
    <w:rsid w:val="00A80228"/>
    <w:rsid w:val="00A812AD"/>
    <w:rsid w:val="00A829E9"/>
    <w:rsid w:val="00A9636B"/>
    <w:rsid w:val="00AA272B"/>
    <w:rsid w:val="00AB5D65"/>
    <w:rsid w:val="00AC41D2"/>
    <w:rsid w:val="00AF19FC"/>
    <w:rsid w:val="00B1364E"/>
    <w:rsid w:val="00B21D2C"/>
    <w:rsid w:val="00B3262F"/>
    <w:rsid w:val="00B569D8"/>
    <w:rsid w:val="00B57529"/>
    <w:rsid w:val="00B762A9"/>
    <w:rsid w:val="00BA28DD"/>
    <w:rsid w:val="00C0784B"/>
    <w:rsid w:val="00C220F4"/>
    <w:rsid w:val="00C42F75"/>
    <w:rsid w:val="00C455F8"/>
    <w:rsid w:val="00C50B7E"/>
    <w:rsid w:val="00C6517A"/>
    <w:rsid w:val="00C9532E"/>
    <w:rsid w:val="00CB0C2F"/>
    <w:rsid w:val="00CB166A"/>
    <w:rsid w:val="00CB53C6"/>
    <w:rsid w:val="00CC023E"/>
    <w:rsid w:val="00CD1E59"/>
    <w:rsid w:val="00CE6C6C"/>
    <w:rsid w:val="00D15078"/>
    <w:rsid w:val="00D220F9"/>
    <w:rsid w:val="00D26548"/>
    <w:rsid w:val="00D36477"/>
    <w:rsid w:val="00D521F1"/>
    <w:rsid w:val="00D66744"/>
    <w:rsid w:val="00D66AAE"/>
    <w:rsid w:val="00D71EBB"/>
    <w:rsid w:val="00D82DD4"/>
    <w:rsid w:val="00D934C0"/>
    <w:rsid w:val="00D939CD"/>
    <w:rsid w:val="00DA3E60"/>
    <w:rsid w:val="00DB3372"/>
    <w:rsid w:val="00DB3A80"/>
    <w:rsid w:val="00DB529E"/>
    <w:rsid w:val="00DC01A6"/>
    <w:rsid w:val="00DD6253"/>
    <w:rsid w:val="00DE0AFA"/>
    <w:rsid w:val="00DE7C3C"/>
    <w:rsid w:val="00E036C9"/>
    <w:rsid w:val="00E2271F"/>
    <w:rsid w:val="00E27C31"/>
    <w:rsid w:val="00E40025"/>
    <w:rsid w:val="00E41CB3"/>
    <w:rsid w:val="00E47118"/>
    <w:rsid w:val="00E72EFF"/>
    <w:rsid w:val="00E738B9"/>
    <w:rsid w:val="00E97DB0"/>
    <w:rsid w:val="00EA64D5"/>
    <w:rsid w:val="00EB200B"/>
    <w:rsid w:val="00EC596A"/>
    <w:rsid w:val="00ED635B"/>
    <w:rsid w:val="00F015B3"/>
    <w:rsid w:val="00F14745"/>
    <w:rsid w:val="00F26262"/>
    <w:rsid w:val="00F34091"/>
    <w:rsid w:val="00F36384"/>
    <w:rsid w:val="00F414B4"/>
    <w:rsid w:val="00F471CD"/>
    <w:rsid w:val="00F51DC1"/>
    <w:rsid w:val="00F623B1"/>
    <w:rsid w:val="00F93AB9"/>
    <w:rsid w:val="00F93E87"/>
    <w:rsid w:val="00FA3F67"/>
    <w:rsid w:val="00FC3EAD"/>
    <w:rsid w:val="00FD5EAE"/>
    <w:rsid w:val="00FF7A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40FD9D"/>
  <w15:chartTrackingRefBased/>
  <w15:docId w15:val="{F04864C9-A3E4-4ACB-B30F-102727C7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94D"/>
    <w:pPr>
      <w:spacing w:after="160" w:line="259" w:lineRule="auto"/>
    </w:pPr>
    <w:rPr>
      <w:sz w:val="22"/>
      <w:szCs w:val="22"/>
      <w:lang w:eastAsia="en-US"/>
    </w:rPr>
  </w:style>
  <w:style w:type="paragraph" w:styleId="Ttulo3">
    <w:name w:val="heading 3"/>
    <w:basedOn w:val="Normal"/>
    <w:next w:val="Normal"/>
    <w:link w:val="Ttulo3Char"/>
    <w:uiPriority w:val="9"/>
    <w:unhideWhenUsed/>
    <w:qFormat/>
    <w:rsid w:val="004A16A4"/>
    <w:pPr>
      <w:keepNext/>
      <w:keepLines/>
      <w:spacing w:before="40" w:after="0" w:line="240" w:lineRule="auto"/>
      <w:outlineLvl w:val="2"/>
    </w:pPr>
    <w:rPr>
      <w:rFonts w:ascii="Calibri Light" w:eastAsia="Times New Roman" w:hAnsi="Calibri Light"/>
      <w:color w:val="1F4D78"/>
      <w:sz w:val="24"/>
      <w:szCs w:val="24"/>
      <w:lang w:val="x-none" w:eastAsia="pt-BR"/>
    </w:rPr>
  </w:style>
  <w:style w:type="paragraph" w:styleId="Ttulo4">
    <w:name w:val="heading 4"/>
    <w:basedOn w:val="Normal"/>
    <w:next w:val="Normal"/>
    <w:link w:val="Ttulo4Char"/>
    <w:uiPriority w:val="9"/>
    <w:unhideWhenUsed/>
    <w:qFormat/>
    <w:rsid w:val="00E41CB3"/>
    <w:pPr>
      <w:keepNext/>
      <w:spacing w:before="240" w:after="60" w:line="240" w:lineRule="auto"/>
      <w:outlineLvl w:val="3"/>
    </w:pPr>
    <w:rPr>
      <w:rFonts w:eastAsia="Times New Roman"/>
      <w:b/>
      <w:bCs/>
      <w:sz w:val="28"/>
      <w:szCs w:val="28"/>
      <w:lang w:val="x-none"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6F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6F0E"/>
  </w:style>
  <w:style w:type="paragraph" w:styleId="Rodap">
    <w:name w:val="footer"/>
    <w:basedOn w:val="Normal"/>
    <w:link w:val="RodapChar"/>
    <w:uiPriority w:val="99"/>
    <w:unhideWhenUsed/>
    <w:rsid w:val="00476F0E"/>
    <w:pPr>
      <w:tabs>
        <w:tab w:val="center" w:pos="4252"/>
        <w:tab w:val="right" w:pos="8504"/>
      </w:tabs>
      <w:spacing w:after="0" w:line="240" w:lineRule="auto"/>
    </w:pPr>
  </w:style>
  <w:style w:type="character" w:customStyle="1" w:styleId="RodapChar">
    <w:name w:val="Rodapé Char"/>
    <w:basedOn w:val="Fontepargpadro"/>
    <w:link w:val="Rodap"/>
    <w:uiPriority w:val="99"/>
    <w:rsid w:val="00476F0E"/>
  </w:style>
  <w:style w:type="character" w:customStyle="1" w:styleId="Ttulo4Char">
    <w:name w:val="Título 4 Char"/>
    <w:link w:val="Ttulo4"/>
    <w:uiPriority w:val="9"/>
    <w:rsid w:val="00E41CB3"/>
    <w:rPr>
      <w:rFonts w:ascii="Calibri" w:eastAsia="Times New Roman" w:hAnsi="Calibri" w:cs="Times New Roman"/>
      <w:b/>
      <w:bCs/>
      <w:sz w:val="28"/>
      <w:szCs w:val="28"/>
      <w:lang w:eastAsia="pt-BR"/>
    </w:rPr>
  </w:style>
  <w:style w:type="character" w:styleId="Hyperlink">
    <w:name w:val="Hyperlink"/>
    <w:uiPriority w:val="99"/>
    <w:unhideWhenUsed/>
    <w:rsid w:val="00E41CB3"/>
    <w:rPr>
      <w:color w:val="0000FF"/>
      <w:u w:val="single"/>
    </w:rPr>
  </w:style>
  <w:style w:type="character" w:styleId="HiperlinkVisitado">
    <w:name w:val="FollowedHyperlink"/>
    <w:uiPriority w:val="99"/>
    <w:semiHidden/>
    <w:unhideWhenUsed/>
    <w:rsid w:val="00697831"/>
    <w:rPr>
      <w:color w:val="954F72"/>
      <w:u w:val="single"/>
    </w:rPr>
  </w:style>
  <w:style w:type="character" w:customStyle="1" w:styleId="Ttulo3Char">
    <w:name w:val="Título 3 Char"/>
    <w:link w:val="Ttulo3"/>
    <w:uiPriority w:val="9"/>
    <w:rsid w:val="004A16A4"/>
    <w:rPr>
      <w:rFonts w:ascii="Calibri Light" w:eastAsia="Times New Roman" w:hAnsi="Calibri Light" w:cs="Times New Roman"/>
      <w:color w:val="1F4D78"/>
      <w:sz w:val="24"/>
      <w:szCs w:val="24"/>
      <w:lang w:eastAsia="pt-BR"/>
    </w:rPr>
  </w:style>
  <w:style w:type="paragraph" w:styleId="NormalWeb">
    <w:name w:val="Normal (Web)"/>
    <w:basedOn w:val="Normal"/>
    <w:uiPriority w:val="99"/>
    <w:unhideWhenUsed/>
    <w:rsid w:val="004A16A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831">
      <w:bodyDiv w:val="1"/>
      <w:marLeft w:val="0"/>
      <w:marRight w:val="0"/>
      <w:marTop w:val="0"/>
      <w:marBottom w:val="0"/>
      <w:divBdr>
        <w:top w:val="none" w:sz="0" w:space="0" w:color="auto"/>
        <w:left w:val="none" w:sz="0" w:space="0" w:color="auto"/>
        <w:bottom w:val="none" w:sz="0" w:space="0" w:color="auto"/>
        <w:right w:val="none" w:sz="0" w:space="0" w:color="auto"/>
      </w:divBdr>
    </w:div>
    <w:div w:id="92214464">
      <w:bodyDiv w:val="1"/>
      <w:marLeft w:val="0"/>
      <w:marRight w:val="0"/>
      <w:marTop w:val="0"/>
      <w:marBottom w:val="0"/>
      <w:divBdr>
        <w:top w:val="none" w:sz="0" w:space="0" w:color="auto"/>
        <w:left w:val="none" w:sz="0" w:space="0" w:color="auto"/>
        <w:bottom w:val="none" w:sz="0" w:space="0" w:color="auto"/>
        <w:right w:val="none" w:sz="0" w:space="0" w:color="auto"/>
      </w:divBdr>
    </w:div>
    <w:div w:id="96828950">
      <w:bodyDiv w:val="1"/>
      <w:marLeft w:val="0"/>
      <w:marRight w:val="0"/>
      <w:marTop w:val="0"/>
      <w:marBottom w:val="0"/>
      <w:divBdr>
        <w:top w:val="none" w:sz="0" w:space="0" w:color="auto"/>
        <w:left w:val="none" w:sz="0" w:space="0" w:color="auto"/>
        <w:bottom w:val="none" w:sz="0" w:space="0" w:color="auto"/>
        <w:right w:val="none" w:sz="0" w:space="0" w:color="auto"/>
      </w:divBdr>
    </w:div>
    <w:div w:id="327103210">
      <w:bodyDiv w:val="1"/>
      <w:marLeft w:val="0"/>
      <w:marRight w:val="0"/>
      <w:marTop w:val="0"/>
      <w:marBottom w:val="0"/>
      <w:divBdr>
        <w:top w:val="none" w:sz="0" w:space="0" w:color="auto"/>
        <w:left w:val="none" w:sz="0" w:space="0" w:color="auto"/>
        <w:bottom w:val="none" w:sz="0" w:space="0" w:color="auto"/>
        <w:right w:val="none" w:sz="0" w:space="0" w:color="auto"/>
      </w:divBdr>
    </w:div>
    <w:div w:id="334456509">
      <w:bodyDiv w:val="1"/>
      <w:marLeft w:val="0"/>
      <w:marRight w:val="0"/>
      <w:marTop w:val="0"/>
      <w:marBottom w:val="0"/>
      <w:divBdr>
        <w:top w:val="none" w:sz="0" w:space="0" w:color="auto"/>
        <w:left w:val="none" w:sz="0" w:space="0" w:color="auto"/>
        <w:bottom w:val="none" w:sz="0" w:space="0" w:color="auto"/>
        <w:right w:val="none" w:sz="0" w:space="0" w:color="auto"/>
      </w:divBdr>
    </w:div>
    <w:div w:id="475882548">
      <w:bodyDiv w:val="1"/>
      <w:marLeft w:val="0"/>
      <w:marRight w:val="0"/>
      <w:marTop w:val="0"/>
      <w:marBottom w:val="0"/>
      <w:divBdr>
        <w:top w:val="none" w:sz="0" w:space="0" w:color="auto"/>
        <w:left w:val="none" w:sz="0" w:space="0" w:color="auto"/>
        <w:bottom w:val="none" w:sz="0" w:space="0" w:color="auto"/>
        <w:right w:val="none" w:sz="0" w:space="0" w:color="auto"/>
      </w:divBdr>
    </w:div>
    <w:div w:id="482083069">
      <w:bodyDiv w:val="1"/>
      <w:marLeft w:val="0"/>
      <w:marRight w:val="0"/>
      <w:marTop w:val="0"/>
      <w:marBottom w:val="0"/>
      <w:divBdr>
        <w:top w:val="none" w:sz="0" w:space="0" w:color="auto"/>
        <w:left w:val="none" w:sz="0" w:space="0" w:color="auto"/>
        <w:bottom w:val="none" w:sz="0" w:space="0" w:color="auto"/>
        <w:right w:val="none" w:sz="0" w:space="0" w:color="auto"/>
      </w:divBdr>
    </w:div>
    <w:div w:id="487748784">
      <w:bodyDiv w:val="1"/>
      <w:marLeft w:val="0"/>
      <w:marRight w:val="0"/>
      <w:marTop w:val="0"/>
      <w:marBottom w:val="0"/>
      <w:divBdr>
        <w:top w:val="none" w:sz="0" w:space="0" w:color="auto"/>
        <w:left w:val="none" w:sz="0" w:space="0" w:color="auto"/>
        <w:bottom w:val="none" w:sz="0" w:space="0" w:color="auto"/>
        <w:right w:val="none" w:sz="0" w:space="0" w:color="auto"/>
      </w:divBdr>
    </w:div>
    <w:div w:id="491214188">
      <w:bodyDiv w:val="1"/>
      <w:marLeft w:val="0"/>
      <w:marRight w:val="0"/>
      <w:marTop w:val="0"/>
      <w:marBottom w:val="0"/>
      <w:divBdr>
        <w:top w:val="none" w:sz="0" w:space="0" w:color="auto"/>
        <w:left w:val="none" w:sz="0" w:space="0" w:color="auto"/>
        <w:bottom w:val="none" w:sz="0" w:space="0" w:color="auto"/>
        <w:right w:val="none" w:sz="0" w:space="0" w:color="auto"/>
      </w:divBdr>
    </w:div>
    <w:div w:id="700322754">
      <w:bodyDiv w:val="1"/>
      <w:marLeft w:val="0"/>
      <w:marRight w:val="0"/>
      <w:marTop w:val="0"/>
      <w:marBottom w:val="0"/>
      <w:divBdr>
        <w:top w:val="none" w:sz="0" w:space="0" w:color="auto"/>
        <w:left w:val="none" w:sz="0" w:space="0" w:color="auto"/>
        <w:bottom w:val="none" w:sz="0" w:space="0" w:color="auto"/>
        <w:right w:val="none" w:sz="0" w:space="0" w:color="auto"/>
      </w:divBdr>
    </w:div>
    <w:div w:id="1200163785">
      <w:bodyDiv w:val="1"/>
      <w:marLeft w:val="0"/>
      <w:marRight w:val="0"/>
      <w:marTop w:val="0"/>
      <w:marBottom w:val="0"/>
      <w:divBdr>
        <w:top w:val="none" w:sz="0" w:space="0" w:color="auto"/>
        <w:left w:val="none" w:sz="0" w:space="0" w:color="auto"/>
        <w:bottom w:val="none" w:sz="0" w:space="0" w:color="auto"/>
        <w:right w:val="none" w:sz="0" w:space="0" w:color="auto"/>
      </w:divBdr>
    </w:div>
    <w:div w:id="1360662788">
      <w:bodyDiv w:val="1"/>
      <w:marLeft w:val="0"/>
      <w:marRight w:val="0"/>
      <w:marTop w:val="0"/>
      <w:marBottom w:val="0"/>
      <w:divBdr>
        <w:top w:val="none" w:sz="0" w:space="0" w:color="auto"/>
        <w:left w:val="none" w:sz="0" w:space="0" w:color="auto"/>
        <w:bottom w:val="none" w:sz="0" w:space="0" w:color="auto"/>
        <w:right w:val="none" w:sz="0" w:space="0" w:color="auto"/>
      </w:divBdr>
    </w:div>
    <w:div w:id="1538010447">
      <w:bodyDiv w:val="1"/>
      <w:marLeft w:val="0"/>
      <w:marRight w:val="0"/>
      <w:marTop w:val="0"/>
      <w:marBottom w:val="0"/>
      <w:divBdr>
        <w:top w:val="none" w:sz="0" w:space="0" w:color="auto"/>
        <w:left w:val="none" w:sz="0" w:space="0" w:color="auto"/>
        <w:bottom w:val="none" w:sz="0" w:space="0" w:color="auto"/>
        <w:right w:val="none" w:sz="0" w:space="0" w:color="auto"/>
      </w:divBdr>
    </w:div>
    <w:div w:id="1618484685">
      <w:bodyDiv w:val="1"/>
      <w:marLeft w:val="0"/>
      <w:marRight w:val="0"/>
      <w:marTop w:val="0"/>
      <w:marBottom w:val="0"/>
      <w:divBdr>
        <w:top w:val="none" w:sz="0" w:space="0" w:color="auto"/>
        <w:left w:val="none" w:sz="0" w:space="0" w:color="auto"/>
        <w:bottom w:val="none" w:sz="0" w:space="0" w:color="auto"/>
        <w:right w:val="none" w:sz="0" w:space="0" w:color="auto"/>
      </w:divBdr>
    </w:div>
    <w:div w:id="1868521032">
      <w:bodyDiv w:val="1"/>
      <w:marLeft w:val="0"/>
      <w:marRight w:val="0"/>
      <w:marTop w:val="0"/>
      <w:marBottom w:val="0"/>
      <w:divBdr>
        <w:top w:val="none" w:sz="0" w:space="0" w:color="auto"/>
        <w:left w:val="none" w:sz="0" w:space="0" w:color="auto"/>
        <w:bottom w:val="none" w:sz="0" w:space="0" w:color="auto"/>
        <w:right w:val="none" w:sz="0" w:space="0" w:color="auto"/>
      </w:divBdr>
    </w:div>
    <w:div w:id="1943299015">
      <w:bodyDiv w:val="1"/>
      <w:marLeft w:val="0"/>
      <w:marRight w:val="0"/>
      <w:marTop w:val="0"/>
      <w:marBottom w:val="0"/>
      <w:divBdr>
        <w:top w:val="none" w:sz="0" w:space="0" w:color="auto"/>
        <w:left w:val="none" w:sz="0" w:space="0" w:color="auto"/>
        <w:bottom w:val="none" w:sz="0" w:space="0" w:color="auto"/>
        <w:right w:val="none" w:sz="0" w:space="0" w:color="auto"/>
      </w:divBdr>
    </w:div>
    <w:div w:id="1984234838">
      <w:bodyDiv w:val="1"/>
      <w:marLeft w:val="0"/>
      <w:marRight w:val="0"/>
      <w:marTop w:val="0"/>
      <w:marBottom w:val="0"/>
      <w:divBdr>
        <w:top w:val="none" w:sz="0" w:space="0" w:color="auto"/>
        <w:left w:val="none" w:sz="0" w:space="0" w:color="auto"/>
        <w:bottom w:val="none" w:sz="0" w:space="0" w:color="auto"/>
        <w:right w:val="none" w:sz="0" w:space="0" w:color="auto"/>
      </w:divBdr>
    </w:div>
    <w:div w:id="2022127316">
      <w:bodyDiv w:val="1"/>
      <w:marLeft w:val="0"/>
      <w:marRight w:val="0"/>
      <w:marTop w:val="0"/>
      <w:marBottom w:val="0"/>
      <w:divBdr>
        <w:top w:val="none" w:sz="0" w:space="0" w:color="auto"/>
        <w:left w:val="none" w:sz="0" w:space="0" w:color="auto"/>
        <w:bottom w:val="none" w:sz="0" w:space="0" w:color="auto"/>
        <w:right w:val="none" w:sz="0" w:space="0" w:color="auto"/>
      </w:divBdr>
    </w:div>
    <w:div w:id="21019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trt1.jus.br/ultimas-noticias/-/asset_publisher/IpQvDk7pXBme/content/trt-rj-disponibiliza-novos-videos-tutoriais-para-usuarios-do-pje-calc/21078" TargetMode="External"/><Relationship Id="rId18" Type="http://schemas.openxmlformats.org/officeDocument/2006/relationships/hyperlink" Target="https://doweb.rio.rj.gov.br/" TargetMode="External"/><Relationship Id="rId26" Type="http://schemas.openxmlformats.org/officeDocument/2006/relationships/hyperlink" Target="http://www.ibdfam.org.br/noticias/7440/PL+prev%C3%AA+trabalho+remoto+a+pais+de+filhos+com+creches+e+escolas+fechadas" TargetMode="External"/><Relationship Id="rId39" Type="http://schemas.openxmlformats.org/officeDocument/2006/relationships/footer" Target="footer3.xml"/><Relationship Id="rId21" Type="http://schemas.openxmlformats.org/officeDocument/2006/relationships/hyperlink" Target="file:///C:\Users\Jacques\AppData\Local\Microsoft\Windows\INetCache\Content.Outlook\999NPLZ3\VDBSRk1FNUVaRVJSVlVWMFRYcHJORTVETURCT2ExVTBURlJzUTFGVVJYUlJWVlV6VWtSS1JGSnFWWHBOUlU1RVRWUlZOVTE2V1hkTmVsRXhUbWM5UFE9PQ"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t.mp.br/pgt/noticias/mpt-apoia-projeto-que-aproxima-consumidores-de-micro-e-pequenos-empreendedores-de-servicos-essenciais" TargetMode="External"/><Relationship Id="rId20" Type="http://schemas.openxmlformats.org/officeDocument/2006/relationships/hyperlink" Target="file:///C:\Users\Jacques\AppData\Local\Microsoft\Windows\INetCache\Content.Outlook\999NPLZ3\VDBSRk1FNUVaRVJSVlVWMFRYcHJORTVETURCT2ExVTBURlJzUTFGVVJYUlJWVlV6VWtSS1JGSnFWWHBOUlU1RVRWUlZOVTE2V1hkTmVsRXhUbWM5UFE9PQ" TargetMode="External"/><Relationship Id="rId29" Type="http://schemas.openxmlformats.org/officeDocument/2006/relationships/hyperlink" Target="https://www.migalhas.com.br/quentes/330072/covid-19-juiza-da-pb-suspende-flexibilizacao-municipal-por-prevalencia-de-decreto-estadu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s.gov.br/decreto-atualiza-o-regulamento-da-previdencia-social-as-regras-da-nova-previdencia/" TargetMode="External"/><Relationship Id="rId24" Type="http://schemas.openxmlformats.org/officeDocument/2006/relationships/hyperlink" Target="https://www.oabrj.org.br/noticias/apos-anuncio-greve-dos-serventuarios-oabrj-pede-ao-tj-esforco-nas-negociacoes-sindicato" TargetMode="External"/><Relationship Id="rId32" Type="http://schemas.openxmlformats.org/officeDocument/2006/relationships/hyperlink" Target="https://www.migalhas.com.br/quentes/330050/covid-19-justica-do-rj-proibe-moradores-de-usarem-areas-comuns-de-condominio"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rt1.jus.br/web/guest/pje/orientacoes-e-manuais" TargetMode="External"/><Relationship Id="rId23" Type="http://schemas.openxmlformats.org/officeDocument/2006/relationships/hyperlink" Target="http://www.ioerj.com.br/portal/modules/conteudoonline/mostra_edicao.php?session=VDBSRk1FNUVaRVJSVlVWMFRYcHJORTVETURCT2ExVTBURlJzUTFGVVJYUlJWVlV6VWtSS1JGSnFWWHBOUlU1RVRWUlZOVTE2V1hkTmVsRXhUbWM5UFE9PQ==" TargetMode="External"/><Relationship Id="rId28" Type="http://schemas.openxmlformats.org/officeDocument/2006/relationships/hyperlink" Target="https://www.conjur.com.br/2020-jul-01/tst-homologa-acordo-gol-pessoal-bordo-pelos-proximos-18-meses" TargetMode="External"/><Relationship Id="rId36" Type="http://schemas.openxmlformats.org/officeDocument/2006/relationships/footer" Target="footer1.xml"/><Relationship Id="rId10" Type="http://schemas.openxmlformats.org/officeDocument/2006/relationships/hyperlink" Target="http://www.planalto.gov.br/ccivil_03/_ato2019-2022/2020/Decreto/D10412.htm" TargetMode="External"/><Relationship Id="rId19" Type="http://schemas.openxmlformats.org/officeDocument/2006/relationships/hyperlink" Target="file:///C:\Users\Jacques\AppData\Local\Microsoft\Windows\INetCache\Content.Outlook\999NPLZ3\VDBSRk1FNUVaRVJSVlVWMFRYcHJORTVETURCT2ExVTBURlJzUTFGVVJYUlJWVlV6VWtSS1JGSnFWWHBOUlU1RVRWUlZOVTE2V1hkTmVsRXhUbWM5UFE9PQ" TargetMode="External"/><Relationship Id="rId31" Type="http://schemas.openxmlformats.org/officeDocument/2006/relationships/hyperlink" Target="https://www.migalhas.com.br/quentes/330062/aasp-elabora-guia-para-reabertura-de-escritorios-de-advocacia" TargetMode="External"/><Relationship Id="rId4" Type="http://schemas.openxmlformats.org/officeDocument/2006/relationships/settings" Target="settings.xml"/><Relationship Id="rId9" Type="http://schemas.openxmlformats.org/officeDocument/2006/relationships/hyperlink" Target="http://www.planalto.gov.br/ccivil_03/_ato2019-2022/2020/Decreto/D10410.htm" TargetMode="External"/><Relationship Id="rId14" Type="http://schemas.openxmlformats.org/officeDocument/2006/relationships/hyperlink" Target="https://www.trt1.jus.br/web/guest/pje/orientacoes-e-manuais" TargetMode="External"/><Relationship Id="rId22" Type="http://schemas.openxmlformats.org/officeDocument/2006/relationships/hyperlink" Target="http://www.ioerj.com.br/portal/modules/conteudoonline/mostra_edicao.php?session=VDBSRk1FNUVaRVJSVlVWMFRYcHJORTVETURCT2ExVTBURlJzUTFGVVJYUlJWVlV6VWtSS1JGSnFWWHBOUlU1RVRWUlZOVTE2V1hkTmVsRXhUbWM5UFE9PQ==" TargetMode="External"/><Relationship Id="rId27" Type="http://schemas.openxmlformats.org/officeDocument/2006/relationships/hyperlink" Target="https://www.conjur.com.br/2020-jul-01/aprovada-camara-turno-pec-adia-eleicoes-municipais" TargetMode="External"/><Relationship Id="rId30" Type="http://schemas.openxmlformats.org/officeDocument/2006/relationships/hyperlink" Target="https://www.migalhas.com.br/quentes/330065/toque-de-recolher-previsto-em-decreto-de-dionisio-cerqueira-sc-e-suspenso"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namatra.org.br/imprensa/noticias/30074-competencia-da-justica-do-trabalho-anamatra-interpoe-embargos-de-declaracao-para-modulacao-de-decisao-do-stf" TargetMode="External"/><Relationship Id="rId17" Type="http://schemas.openxmlformats.org/officeDocument/2006/relationships/hyperlink" Target="http://www.stj.jus.br/sites/portalp/Paginas/Comunicacao/Noticias/Ministro-restitui-prazo-apos-unica-advogada-da-parte-contrair-Covid-19-.aspx" TargetMode="External"/><Relationship Id="rId25" Type="http://schemas.openxmlformats.org/officeDocument/2006/relationships/hyperlink" Target="https://www.oab.org.br/noticia/58248/oab-divulga-reunioes-dos-orgaos-colegiados-e-prorroga-o-teletrabalho-de-servidores" TargetMode="External"/><Relationship Id="rId33" Type="http://schemas.openxmlformats.org/officeDocument/2006/relationships/hyperlink" Target="https://www.migalhas.com.br/quentes/328903/tribunais-iniciam-retomada-das-atividades-presenciais"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EFB1-4EF7-4DB8-9C13-98767FC4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2697</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17233</CharactersWithSpaces>
  <SharedDoc>false</SharedDoc>
  <HLinks>
    <vt:vector size="150" baseType="variant">
      <vt:variant>
        <vt:i4>1114140</vt:i4>
      </vt:variant>
      <vt:variant>
        <vt:i4>72</vt:i4>
      </vt:variant>
      <vt:variant>
        <vt:i4>0</vt:i4>
      </vt:variant>
      <vt:variant>
        <vt:i4>5</vt:i4>
      </vt:variant>
      <vt:variant>
        <vt:lpwstr>https://www.migalhas.com.br/quentes/328903/tribunais-iniciam-retomada-das-atividades-presenciais</vt:lpwstr>
      </vt:variant>
      <vt:variant>
        <vt:lpwstr/>
      </vt:variant>
      <vt:variant>
        <vt:i4>7602214</vt:i4>
      </vt:variant>
      <vt:variant>
        <vt:i4>69</vt:i4>
      </vt:variant>
      <vt:variant>
        <vt:i4>0</vt:i4>
      </vt:variant>
      <vt:variant>
        <vt:i4>5</vt:i4>
      </vt:variant>
      <vt:variant>
        <vt:lpwstr>https://www.migalhas.com.br/quentes/330050/covid-19-justica-do-rj-proibe-moradores-de-usarem-areas-comuns-de-condominio</vt:lpwstr>
      </vt:variant>
      <vt:variant>
        <vt:lpwstr/>
      </vt:variant>
      <vt:variant>
        <vt:i4>5439491</vt:i4>
      </vt:variant>
      <vt:variant>
        <vt:i4>66</vt:i4>
      </vt:variant>
      <vt:variant>
        <vt:i4>0</vt:i4>
      </vt:variant>
      <vt:variant>
        <vt:i4>5</vt:i4>
      </vt:variant>
      <vt:variant>
        <vt:lpwstr>https://www.migalhas.com.br/quentes/330062/aasp-elabora-guia-para-reabertura-de-escritorios-de-advocacia</vt:lpwstr>
      </vt:variant>
      <vt:variant>
        <vt:lpwstr/>
      </vt:variant>
      <vt:variant>
        <vt:i4>4849751</vt:i4>
      </vt:variant>
      <vt:variant>
        <vt:i4>63</vt:i4>
      </vt:variant>
      <vt:variant>
        <vt:i4>0</vt:i4>
      </vt:variant>
      <vt:variant>
        <vt:i4>5</vt:i4>
      </vt:variant>
      <vt:variant>
        <vt:lpwstr>https://www.migalhas.com.br/quentes/330065/toque-de-recolher-previsto-em-decreto-de-dionisio-cerqueira-sc-e-suspenso</vt:lpwstr>
      </vt:variant>
      <vt:variant>
        <vt:lpwstr/>
      </vt:variant>
      <vt:variant>
        <vt:i4>458820</vt:i4>
      </vt:variant>
      <vt:variant>
        <vt:i4>60</vt:i4>
      </vt:variant>
      <vt:variant>
        <vt:i4>0</vt:i4>
      </vt:variant>
      <vt:variant>
        <vt:i4>5</vt:i4>
      </vt:variant>
      <vt:variant>
        <vt:lpwstr>https://www.migalhas.com.br/quentes/330072/covid-19-juiza-da-pb-suspende-flexibilizacao-municipal-por-prevalencia-de-decreto-estadual</vt:lpwstr>
      </vt:variant>
      <vt:variant>
        <vt:lpwstr/>
      </vt:variant>
      <vt:variant>
        <vt:i4>6488117</vt:i4>
      </vt:variant>
      <vt:variant>
        <vt:i4>57</vt:i4>
      </vt:variant>
      <vt:variant>
        <vt:i4>0</vt:i4>
      </vt:variant>
      <vt:variant>
        <vt:i4>5</vt:i4>
      </vt:variant>
      <vt:variant>
        <vt:lpwstr>https://www.conjur.com.br/2020-jul-01/tst-homologa-acordo-gol-pessoal-bordo-pelos-proximos-18-meses</vt:lpwstr>
      </vt:variant>
      <vt:variant>
        <vt:lpwstr/>
      </vt:variant>
      <vt:variant>
        <vt:i4>1835027</vt:i4>
      </vt:variant>
      <vt:variant>
        <vt:i4>54</vt:i4>
      </vt:variant>
      <vt:variant>
        <vt:i4>0</vt:i4>
      </vt:variant>
      <vt:variant>
        <vt:i4>5</vt:i4>
      </vt:variant>
      <vt:variant>
        <vt:lpwstr>https://www.conjur.com.br/2020-jul-01/aprovada-camara-turno-pec-adia-eleicoes-municipais</vt:lpwstr>
      </vt:variant>
      <vt:variant>
        <vt:lpwstr/>
      </vt:variant>
      <vt:variant>
        <vt:i4>5898324</vt:i4>
      </vt:variant>
      <vt:variant>
        <vt:i4>51</vt:i4>
      </vt:variant>
      <vt:variant>
        <vt:i4>0</vt:i4>
      </vt:variant>
      <vt:variant>
        <vt:i4>5</vt:i4>
      </vt:variant>
      <vt:variant>
        <vt:lpwstr>http://www.ibdfam.org.br/noticias/7440/PL+prev%C3%AA+trabalho+remoto+a+pais+de+filhos+com+creches+e+escolas+fechadas</vt:lpwstr>
      </vt:variant>
      <vt:variant>
        <vt:lpwstr/>
      </vt:variant>
      <vt:variant>
        <vt:i4>3211391</vt:i4>
      </vt:variant>
      <vt:variant>
        <vt:i4>48</vt:i4>
      </vt:variant>
      <vt:variant>
        <vt:i4>0</vt:i4>
      </vt:variant>
      <vt:variant>
        <vt:i4>5</vt:i4>
      </vt:variant>
      <vt:variant>
        <vt:lpwstr>https://www.oab.org.br/noticia/58248/oab-divulga-reunioes-dos-orgaos-colegiados-e-prorroga-o-teletrabalho-de-servidores</vt:lpwstr>
      </vt:variant>
      <vt:variant>
        <vt:lpwstr/>
      </vt:variant>
      <vt:variant>
        <vt:i4>4718675</vt:i4>
      </vt:variant>
      <vt:variant>
        <vt:i4>45</vt:i4>
      </vt:variant>
      <vt:variant>
        <vt:i4>0</vt:i4>
      </vt:variant>
      <vt:variant>
        <vt:i4>5</vt:i4>
      </vt:variant>
      <vt:variant>
        <vt:lpwstr>https://www.oabrj.org.br/noticias/apos-anuncio-greve-dos-serventuarios-oabrj-pede-ao-tj-esforco-nas-negociacoes-sindicato</vt:lpwstr>
      </vt:variant>
      <vt:variant>
        <vt:lpwstr/>
      </vt:variant>
      <vt:variant>
        <vt:i4>4784238</vt:i4>
      </vt:variant>
      <vt:variant>
        <vt:i4>42</vt:i4>
      </vt:variant>
      <vt:variant>
        <vt:i4>0</vt:i4>
      </vt:variant>
      <vt:variant>
        <vt:i4>5</vt:i4>
      </vt:variant>
      <vt:variant>
        <vt:lpwstr>http://www.ioerj.com.br/portal/modules/conteudoonline/mostra_edicao.php?session=VDBSRk1FNUVaRVJSVlVWMFRYcHJORTVETURCT2ExVTBURlJzUTFGVVJYUlJWVlV6VWtSS1JGSnFWWHBOUlU1RVRWUlZOVTE2V1hkTmVsRXhUbWM5UFE9PQ==</vt:lpwstr>
      </vt:variant>
      <vt:variant>
        <vt:lpwstr/>
      </vt:variant>
      <vt:variant>
        <vt:i4>4784238</vt:i4>
      </vt:variant>
      <vt:variant>
        <vt:i4>39</vt:i4>
      </vt:variant>
      <vt:variant>
        <vt:i4>0</vt:i4>
      </vt:variant>
      <vt:variant>
        <vt:i4>5</vt:i4>
      </vt:variant>
      <vt:variant>
        <vt:lpwstr>http://www.ioerj.com.br/portal/modules/conteudoonline/mostra_edicao.php?session=VDBSRk1FNUVaRVJSVlVWMFRYcHJORTVETURCT2ExVTBURlJzUTFGVVJYUlJWVlV6VWtSS1JGSnFWWHBOUlU1RVRWUlZOVTE2V1hkTmVsRXhUbWM5UFE9PQ==</vt:lpwstr>
      </vt:variant>
      <vt:variant>
        <vt:lpwstr/>
      </vt:variant>
      <vt:variant>
        <vt:i4>8323104</vt:i4>
      </vt:variant>
      <vt:variant>
        <vt:i4>36</vt:i4>
      </vt:variant>
      <vt:variant>
        <vt:i4>0</vt:i4>
      </vt:variant>
      <vt:variant>
        <vt:i4>5</vt:i4>
      </vt:variant>
      <vt:variant>
        <vt:lpwstr>VDBSRk1FNUVaRVJSVlVWMFRYcHJORTVETURCT2ExVTBURlJzUTFGVVJYUlJWVlV6VWtSS1JGSnFWWHBOUlU1RVRWUlZOVTE2V1hkTmVsRXhUbWM5UFE9PQ</vt:lpwstr>
      </vt:variant>
      <vt:variant>
        <vt:lpwstr/>
      </vt:variant>
      <vt:variant>
        <vt:i4>8323104</vt:i4>
      </vt:variant>
      <vt:variant>
        <vt:i4>33</vt:i4>
      </vt:variant>
      <vt:variant>
        <vt:i4>0</vt:i4>
      </vt:variant>
      <vt:variant>
        <vt:i4>5</vt:i4>
      </vt:variant>
      <vt:variant>
        <vt:lpwstr>VDBSRk1FNUVaRVJSVlVWMFRYcHJORTVETURCT2ExVTBURlJzUTFGVVJYUlJWVlV6VWtSS1JGSnFWWHBOUlU1RVRWUlZOVTE2V1hkTmVsRXhUbWM5UFE9PQ</vt:lpwstr>
      </vt:variant>
      <vt:variant>
        <vt:lpwstr/>
      </vt:variant>
      <vt:variant>
        <vt:i4>8323104</vt:i4>
      </vt:variant>
      <vt:variant>
        <vt:i4>30</vt:i4>
      </vt:variant>
      <vt:variant>
        <vt:i4>0</vt:i4>
      </vt:variant>
      <vt:variant>
        <vt:i4>5</vt:i4>
      </vt:variant>
      <vt:variant>
        <vt:lpwstr>VDBSRk1FNUVaRVJSVlVWMFRYcHJORTVETURCT2ExVTBURlJzUTFGVVJYUlJWVlV6VWtSS1JGSnFWWHBOUlU1RVRWUlZOVTE2V1hkTmVsRXhUbWM5UFE9PQ</vt:lpwstr>
      </vt:variant>
      <vt:variant>
        <vt:lpwstr/>
      </vt:variant>
      <vt:variant>
        <vt:i4>4456515</vt:i4>
      </vt:variant>
      <vt:variant>
        <vt:i4>27</vt:i4>
      </vt:variant>
      <vt:variant>
        <vt:i4>0</vt:i4>
      </vt:variant>
      <vt:variant>
        <vt:i4>5</vt:i4>
      </vt:variant>
      <vt:variant>
        <vt:lpwstr>https://doweb.rio.rj.gov.br/</vt:lpwstr>
      </vt:variant>
      <vt:variant>
        <vt:lpwstr/>
      </vt:variant>
      <vt:variant>
        <vt:i4>4915277</vt:i4>
      </vt:variant>
      <vt:variant>
        <vt:i4>24</vt:i4>
      </vt:variant>
      <vt:variant>
        <vt:i4>0</vt:i4>
      </vt:variant>
      <vt:variant>
        <vt:i4>5</vt:i4>
      </vt:variant>
      <vt:variant>
        <vt:lpwstr>http://www.stj.jus.br/sites/portalp/Paginas/Comunicacao/Noticias/Ministro-restitui-prazo-apos-unica-advogada-da-parte-contrair-Covid-19-.aspx</vt:lpwstr>
      </vt:variant>
      <vt:variant>
        <vt:lpwstr/>
      </vt:variant>
      <vt:variant>
        <vt:i4>4521988</vt:i4>
      </vt:variant>
      <vt:variant>
        <vt:i4>21</vt:i4>
      </vt:variant>
      <vt:variant>
        <vt:i4>0</vt:i4>
      </vt:variant>
      <vt:variant>
        <vt:i4>5</vt:i4>
      </vt:variant>
      <vt:variant>
        <vt:lpwstr>https://mpt.mp.br/pgt/noticias/mpt-apoia-projeto-que-aproxima-consumidores-de-micro-e-pequenos-empreendedores-de-servicos-essenciais</vt:lpwstr>
      </vt:variant>
      <vt:variant>
        <vt:lpwstr/>
      </vt:variant>
      <vt:variant>
        <vt:i4>6357027</vt:i4>
      </vt:variant>
      <vt:variant>
        <vt:i4>18</vt:i4>
      </vt:variant>
      <vt:variant>
        <vt:i4>0</vt:i4>
      </vt:variant>
      <vt:variant>
        <vt:i4>5</vt:i4>
      </vt:variant>
      <vt:variant>
        <vt:lpwstr>https://www.trt1.jus.br/web/guest/pje/orientacoes-e-manuais</vt:lpwstr>
      </vt:variant>
      <vt:variant>
        <vt:lpwstr/>
      </vt:variant>
      <vt:variant>
        <vt:i4>6357027</vt:i4>
      </vt:variant>
      <vt:variant>
        <vt:i4>15</vt:i4>
      </vt:variant>
      <vt:variant>
        <vt:i4>0</vt:i4>
      </vt:variant>
      <vt:variant>
        <vt:i4>5</vt:i4>
      </vt:variant>
      <vt:variant>
        <vt:lpwstr>https://www.trt1.jus.br/web/guest/pje/orientacoes-e-manuais</vt:lpwstr>
      </vt:variant>
      <vt:variant>
        <vt:lpwstr/>
      </vt:variant>
      <vt:variant>
        <vt:i4>3014725</vt:i4>
      </vt:variant>
      <vt:variant>
        <vt:i4>12</vt:i4>
      </vt:variant>
      <vt:variant>
        <vt:i4>0</vt:i4>
      </vt:variant>
      <vt:variant>
        <vt:i4>5</vt:i4>
      </vt:variant>
      <vt:variant>
        <vt:lpwstr>https://www.trt1.jus.br/ultimas-noticias/-/asset_publisher/IpQvDk7pXBme/content/trt-rj-disponibiliza-novos-videos-tutoriais-para-usuarios-do-pje-calc/21078</vt:lpwstr>
      </vt:variant>
      <vt:variant>
        <vt:lpwstr/>
      </vt:variant>
      <vt:variant>
        <vt:i4>6160458</vt:i4>
      </vt:variant>
      <vt:variant>
        <vt:i4>9</vt:i4>
      </vt:variant>
      <vt:variant>
        <vt:i4>0</vt:i4>
      </vt:variant>
      <vt:variant>
        <vt:i4>5</vt:i4>
      </vt:variant>
      <vt:variant>
        <vt:lpwstr>https://www.anamatra.org.br/imprensa/noticias/30074-competencia-da-justica-do-trabalho-anamatra-interpoe-embargos-de-declaracao-para-modulacao-de-decisao-do-stf</vt:lpwstr>
      </vt:variant>
      <vt:variant>
        <vt:lpwstr/>
      </vt:variant>
      <vt:variant>
        <vt:i4>3997754</vt:i4>
      </vt:variant>
      <vt:variant>
        <vt:i4>6</vt:i4>
      </vt:variant>
      <vt:variant>
        <vt:i4>0</vt:i4>
      </vt:variant>
      <vt:variant>
        <vt:i4>5</vt:i4>
      </vt:variant>
      <vt:variant>
        <vt:lpwstr>https://www.inss.gov.br/decreto-atualiza-o-regulamento-da-previdencia-social-as-regras-da-nova-previdencia/</vt:lpwstr>
      </vt:variant>
      <vt:variant>
        <vt:lpwstr/>
      </vt:variant>
      <vt:variant>
        <vt:i4>7012465</vt:i4>
      </vt:variant>
      <vt:variant>
        <vt:i4>3</vt:i4>
      </vt:variant>
      <vt:variant>
        <vt:i4>0</vt:i4>
      </vt:variant>
      <vt:variant>
        <vt:i4>5</vt:i4>
      </vt:variant>
      <vt:variant>
        <vt:lpwstr>http://www.planalto.gov.br/ccivil_03/_ato2019-2022/2020/Decreto/D10412.htm</vt:lpwstr>
      </vt:variant>
      <vt:variant>
        <vt:lpwstr/>
      </vt:variant>
      <vt:variant>
        <vt:i4>6881393</vt:i4>
      </vt:variant>
      <vt:variant>
        <vt:i4>0</vt:i4>
      </vt:variant>
      <vt:variant>
        <vt:i4>0</vt:i4>
      </vt:variant>
      <vt:variant>
        <vt:i4>5</vt:i4>
      </vt:variant>
      <vt:variant>
        <vt:lpwstr>http://www.planalto.gov.br/ccivil_03/_ato2019-2022/2020/Decreto/D10410.htm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Malka</dc:creator>
  <cp:keywords/>
  <cp:lastModifiedBy>Jacques Malka</cp:lastModifiedBy>
  <cp:revision>3</cp:revision>
  <cp:lastPrinted>2020-06-05T18:12:00Z</cp:lastPrinted>
  <dcterms:created xsi:type="dcterms:W3CDTF">2020-07-06T14:03:00Z</dcterms:created>
  <dcterms:modified xsi:type="dcterms:W3CDTF">2020-07-06T14:04:00Z</dcterms:modified>
</cp:coreProperties>
</file>